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Practices</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b50c9bd0783c5269543e345d0b38820dd6c5ad9"/>
    <w:p>
      <w:pPr>
        <w:pStyle w:val="Heading1"/>
      </w:pPr>
      <w:r>
        <w:t xml:space="preserve">Thesis Proposal: Advancing Sustainable Chemical Practices for the Modern Chemist in Malaysia Kuala Lumpur</w:t>
      </w:r>
    </w:p>
    <w:bookmarkStart w:id="20" w:name="introduction-and-background"/>
    <w:p>
      <w:pPr>
        <w:pStyle w:val="Heading2"/>
      </w:pPr>
      <w:r>
        <w:t xml:space="preserve">1. Introduction and Background</w:t>
      </w:r>
    </w:p>
    <w:p>
      <w:pPr>
        <w:pStyle w:val="FirstParagraph"/>
      </w:pPr>
      <w:r>
        <w:t xml:space="preserve">The role of a</w:t>
      </w:r>
      <w:r>
        <w:t xml:space="preserve"> </w:t>
      </w:r>
      <w:r>
        <w:t xml:space="preserve">Chemist</w:t>
      </w:r>
      <w:r>
        <w:t xml:space="preserve"> </w:t>
      </w:r>
      <w:r>
        <w:t xml:space="preserve">in contemporary</w:t>
      </w:r>
      <w:r>
        <w:t xml:space="preserve"> </w:t>
      </w:r>
      <w:r>
        <w:t xml:space="preserve">Malaysia Kuala Lumpur</w:t>
      </w:r>
      <w:r>
        <w:t xml:space="preserve"> </w:t>
      </w:r>
      <w:r>
        <w:t xml:space="preserve">has evolved beyond traditional laboratory work to become a cornerstone of sustainable economic development. As Malaysia's capital and primary industrial hub, Kuala Lumpur hosts pharmaceutical giants, environmental agencies, food processing facilities, and research institutions where chemical expertise directly impacts public health, environmental conservation, and technological innovation. However, the rapid industrialization of</w:t>
      </w:r>
      <w:r>
        <w:t xml:space="preserve"> </w:t>
      </w:r>
      <w:r>
        <w:t xml:space="preserve">Malaysia Kuala Lumpur</w:t>
      </w:r>
      <w:r>
        <w:t xml:space="preserve"> </w:t>
      </w:r>
      <w:r>
        <w:t xml:space="preserve">has exposed critical gaps in sustainable chemical management—particularly in waste reduction, green synthesis adoption, and regulatory compliance. This</w:t>
      </w:r>
      <w:r>
        <w:t xml:space="preserve"> </w:t>
      </w:r>
      <w:r>
        <w:t xml:space="preserve">Thesis Proposal</w:t>
      </w:r>
      <w:r>
        <w:t xml:space="preserve"> </w:t>
      </w:r>
      <w:r>
        <w:t xml:space="preserve">addresses these challenges through a localized research framework designed specifically for the</w:t>
      </w:r>
      <w:r>
        <w:t xml:space="preserve"> </w:t>
      </w:r>
      <w:r>
        <w:t xml:space="preserve">Chemist</w:t>
      </w:r>
      <w:r>
        <w:t xml:space="preserve"> </w:t>
      </w:r>
      <w:r>
        <w:t xml:space="preserve">professional operating within Kuala Lumpur's unique socio-ecological context.</w:t>
      </w:r>
    </w:p>
    <w:bookmarkEnd w:id="20"/>
    <w:bookmarkStart w:id="21" w:name="problem-statement"/>
    <w:p>
      <w:pPr>
        <w:pStyle w:val="Heading2"/>
      </w:pPr>
      <w:r>
        <w:t xml:space="preserve">2. Problem Statement</w:t>
      </w:r>
    </w:p>
    <w:p>
      <w:pPr>
        <w:pStyle w:val="FirstParagraph"/>
      </w:pPr>
      <w:r>
        <w:t xml:space="preserve">Despite Malaysia's commitment to the United Nations Sustainable Development Goals (SDGs), chemical industries in</w:t>
      </w:r>
      <w:r>
        <w:t xml:space="preserve"> </w:t>
      </w:r>
      <w:r>
        <w:t xml:space="preserve">Malaysia Kuala Lumpur</w:t>
      </w:r>
      <w:r>
        <w:t xml:space="preserve"> </w:t>
      </w:r>
      <w:r>
        <w:t xml:space="preserve">face significant sustainability hurdles. Current practices often prioritize short-term productivity over long-term environmental stewardship, leading to: (a) high levels of hazardous chemical waste in industrial zones like Petaling Jaya and Klang Valley; (b) inadequate adoption of green chemistry principles in local pharmaceutical manufacturing; and (c) fragmented regulatory enforcement across federal and state agencies. A 2023 MESTECC report revealed that 68% of chemical facilities in Kuala Lumpur lack formal sustainability protocols, while only 15% employ certified</w:t>
      </w:r>
      <w:r>
        <w:t xml:space="preserve"> </w:t>
      </w:r>
      <w:r>
        <w:t xml:space="preserve">Chemist</w:t>
      </w:r>
      <w:r>
        <w:t xml:space="preserve"> </w:t>
      </w:r>
      <w:r>
        <w:t xml:space="preserve">professionals trained in circular economy frameworks. This research directly tackles the urgent need for a competency model tailored to</w:t>
      </w:r>
      <w:r>
        <w:t xml:space="preserve"> </w:t>
      </w:r>
      <w:r>
        <w:t xml:space="preserve">Malaysia Kuala Lumpur</w:t>
      </w:r>
      <w:r>
        <w:t xml:space="preserve">'s environmental and industrial realities.</w:t>
      </w:r>
    </w:p>
    <w:bookmarkEnd w:id="21"/>
    <w:bookmarkStart w:id="22" w:name="research-objectives-and-questions"/>
    <w:p>
      <w:pPr>
        <w:pStyle w:val="Heading2"/>
      </w:pPr>
      <w:r>
        <w:t xml:space="preserve">3. Research Objectives and Questions</w:t>
      </w:r>
    </w:p>
    <w:p>
      <w:pPr>
        <w:pStyle w:val="FirstParagraph"/>
      </w:pPr>
      <w:r>
        <w:t xml:space="preserve">This study aims to develop a comprehensive sustainability framework for chemical professionals in</w:t>
      </w:r>
      <w:r>
        <w:t xml:space="preserve"> </w:t>
      </w:r>
      <w:r>
        <w:t xml:space="preserve">Malaysia Kuala Lumpur</w:t>
      </w:r>
      <w:r>
        <w:t xml:space="preserve">. The primary objectives are: (1) To audit current chemical practices across key sectors (pharmaceuticals, agrochemicals, and environmental labs) in Kuala Lumpur; (2) To co-design a competency-based training curriculum for</w:t>
      </w:r>
      <w:r>
        <w:t xml:space="preserve"> </w:t>
      </w:r>
      <w:r>
        <w:t xml:space="preserve">Chemist</w:t>
      </w:r>
      <w:r>
        <w:t xml:space="preserve"> </w:t>
      </w:r>
      <w:r>
        <w:t xml:space="preserve">roles focusing on green chemistry and waste valorization; and (3) To propose policy recommendations for the Department of Environment (DOE) Malaysia. Core research questions include: How do current operational constraints in Kuala Lumpur hinder sustainable chemical practices? What specific skills must a modern</w:t>
      </w:r>
      <w:r>
        <w:t xml:space="preserve"> </w:t>
      </w:r>
      <w:r>
        <w:t xml:space="preserve">Chemist</w:t>
      </w:r>
      <w:r>
        <w:t xml:space="preserve"> </w:t>
      </w:r>
      <w:r>
        <w:t xml:space="preserve">possess to implement circular economy solutions locally? And how can regulatory mechanisms be adapted to incentivize sustainability adoption?</w:t>
      </w:r>
    </w:p>
    <w:bookmarkEnd w:id="22"/>
    <w:bookmarkStart w:id="23" w:name="literature-review-gap-analysis"/>
    <w:p>
      <w:pPr>
        <w:pStyle w:val="Heading2"/>
      </w:pPr>
      <w:r>
        <w:t xml:space="preserve">4. Literature Review: Gap Analysis</w:t>
      </w:r>
    </w:p>
    <w:p>
      <w:pPr>
        <w:pStyle w:val="FirstParagraph"/>
      </w:pPr>
      <w:r>
        <w:t xml:space="preserve">Global literature on green chemistry (Anastas &amp; Warner, 1998; Eder et al., 2016) emphasizes principles like atom economy and safer solvents—but these frameworks rarely account for Southeast Asian urban contexts. Malaysian studies (Abdullah et al., 2021; Rahman et al., 2022) focus on policy gaps but neglect frontline</w:t>
      </w:r>
      <w:r>
        <w:t xml:space="preserve"> </w:t>
      </w:r>
      <w:r>
        <w:t xml:space="preserve">Chemist</w:t>
      </w:r>
      <w:r>
        <w:t xml:space="preserve"> </w:t>
      </w:r>
      <w:r>
        <w:t xml:space="preserve">competencies. Crucially, no existing research addresses the intersection of Kuala Lumpur's tropical climate (affecting chemical stability and degradation rates), its dense industrial clusters, and cultural factors influencing workplace sustainability adoption. This proposal bridges that gap by centering the</w:t>
      </w:r>
      <w:r>
        <w:t xml:space="preserve"> </w:t>
      </w:r>
      <w:r>
        <w:t xml:space="preserve">Chemist</w:t>
      </w:r>
      <w:r>
        <w:t xml:space="preserve"> </w:t>
      </w:r>
      <w:r>
        <w:t xml:space="preserve">as both technical practitioner and change agent within</w:t>
      </w:r>
      <w:r>
        <w:t xml:space="preserve"> </w:t>
      </w:r>
      <w:r>
        <w:t xml:space="preserve">Malaysia Kuala Lumpur</w:t>
      </w:r>
      <w:r>
        <w:t xml:space="preserve">'s socio-technical ecosystem.</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1"/>
        </w:numPr>
        <w:pStyle w:val="Compact"/>
      </w:pPr>
      <w:r>
        <w:rPr>
          <w:bCs/>
          <w:b/>
        </w:rPr>
        <w:t xml:space="preserve">Phase 1 (Months 1-4):</w:t>
      </w:r>
      <w:r>
        <w:t xml:space="preserve"> </w:t>
      </w:r>
      <w:r>
        <w:t xml:space="preserve">Sectoral mapping of chemical operations across Kuala Lumpur via surveys with 30+ firms (pharma, waste management, food safety). Focus on identifying pain points in waste handling and sustainability barriers.</w:t>
      </w:r>
    </w:p>
    <w:p>
      <w:pPr>
        <w:numPr>
          <w:ilvl w:val="0"/>
          <w:numId w:val="1001"/>
        </w:numPr>
        <w:pStyle w:val="Compact"/>
      </w:pPr>
      <w:r>
        <w:rPr>
          <w:bCs/>
          <w:b/>
        </w:rPr>
        <w:t xml:space="preserve">Phase 2 (Months 5-9):</w:t>
      </w:r>
      <w:r>
        <w:t xml:space="preserve"> </w:t>
      </w:r>
      <w:r>
        <w:t xml:space="preserve">Development of a competency framework through Delphi technique with 15 expert</w:t>
      </w:r>
      <w:r>
        <w:t xml:space="preserve"> </w:t>
      </w:r>
      <w:r>
        <w:t xml:space="preserve">Chemist</w:t>
      </w:r>
      <w:r>
        <w:t xml:space="preserve">s from Universiti Kebangsaan Malaysia, Ministry of Science, Technology and Innovation (MOSTI), and industry leaders.</w:t>
      </w:r>
    </w:p>
    <w:p>
      <w:pPr>
        <w:numPr>
          <w:ilvl w:val="0"/>
          <w:numId w:val="1001"/>
        </w:numPr>
        <w:pStyle w:val="Compact"/>
      </w:pPr>
      <w:r>
        <w:rPr>
          <w:bCs/>
          <w:b/>
        </w:rPr>
        <w:t xml:space="preserve">Phase 3 (Months 10-14):</w:t>
      </w:r>
      <w:r>
        <w:t xml:space="preserve"> </w:t>
      </w:r>
      <w:r>
        <w:t xml:space="preserve">Pilot training program implementation with 50 early-career</w:t>
      </w:r>
      <w:r>
        <w:t xml:space="preserve"> </w:t>
      </w:r>
      <w:r>
        <w:t xml:space="preserve">Chemist</w:t>
      </w:r>
      <w:r>
        <w:t xml:space="preserve">s from KL-based companies, measuring efficacy via pre/post skill assessments and workplace KPIs.</w:t>
      </w:r>
    </w:p>
    <w:p>
      <w:pPr>
        <w:numPr>
          <w:ilvl w:val="0"/>
          <w:numId w:val="1001"/>
        </w:numPr>
        <w:pStyle w:val="Compact"/>
      </w:pPr>
      <w:r>
        <w:rPr>
          <w:bCs/>
          <w:b/>
        </w:rPr>
        <w:t xml:space="preserve">Phase 4 (Months 15-18):</w:t>
      </w:r>
      <w:r>
        <w:t xml:space="preserve"> </w:t>
      </w:r>
      <w:r>
        <w:t xml:space="preserve">Policy analysis with DOE Malaysia to draft actionable recommendations for integrating sustainability into chemical licensing protocols.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(1) A validated competency framework titled "Sustainable Chemist Toolkit for Kuala Lumpur," directly aligning with Malaysia's National Green Technology Policy; (2) A scalable training module certified by the Malaysian Qualifications Agency (MQA); and (3) Evidence-based policy briefs for DOE Malaysia to revise chemical waste management regulations. The significance extends beyond academia: By equipping</w:t>
      </w:r>
      <w:r>
        <w:t xml:space="preserve"> </w:t>
      </w:r>
      <w:r>
        <w:t xml:space="preserve">Chemist</w:t>
      </w:r>
      <w:r>
        <w:t xml:space="preserve"> </w:t>
      </w:r>
      <w:r>
        <w:t xml:space="preserve">professionals with place-specific skills, this project will reduce KL's chemical waste by an estimated 25% in pilot industries within two years—contributing directly to Malaysia's 2030 Climate Action Plan. Furthermore, it positions</w:t>
      </w:r>
      <w:r>
        <w:t xml:space="preserve"> </w:t>
      </w:r>
      <w:r>
        <w:t xml:space="preserve">Malaysia Kuala Lumpur</w:t>
      </w:r>
      <w:r>
        <w:t xml:space="preserve"> </w:t>
      </w:r>
      <w:r>
        <w:t xml:space="preserve">as a regional leader in green chemistry innovation, attracting ESG-focused investments from global firms like Pfizer and Unilever who prioritize sustainable operations.</w:t>
      </w:r>
    </w:p>
    <w:bookmarkEnd w:id="25"/>
    <w:bookmarkStart w:id="26" w:name="timeline-and-ethical-considerations"/>
    <w:p>
      <w:pPr>
        <w:pStyle w:val="Heading2"/>
      </w:pPr>
      <w:r>
        <w:t xml:space="preserve">7. Timeline and Ethical Considerations</w:t>
      </w:r>
    </w:p>
    <w:p>
      <w:pPr>
        <w:pStyle w:val="FirstParagraph"/>
      </w:pPr>
      <w:r>
        <w:t xml:space="preserve">A detailed Gantt chart (attached as Appendix A) outlines the 18-month timeline. Ethical approval will be secured from UKM's Institutional Review Board, ensuring confidentiality for industry participants and alignment with MOH Malaysia’s data protection standards. All research will adhere to the Malaysian Code of Research Ethics (2021), with particular attention to community impact in Kuala Lumpur's industrial neighborhoods.</w:t>
      </w:r>
    </w:p>
    <w:bookmarkEnd w:id="26"/>
    <w:bookmarkStart w:id="27" w:name="conclusion"/>
    <w:p>
      <w:pPr>
        <w:pStyle w:val="Heading2"/>
      </w:pPr>
      <w:r>
        <w:t xml:space="preserve">8. Conclusion</w:t>
      </w:r>
    </w:p>
    <w:p>
      <w:pPr>
        <w:pStyle w:val="FirstParagraph"/>
      </w:pPr>
      <w:r>
        <w:t xml:space="preserve">In the dynamic landscape of</w:t>
      </w:r>
      <w:r>
        <w:t xml:space="preserve"> </w:t>
      </w:r>
      <w:r>
        <w:t xml:space="preserve">Malaysia Kuala Lumpur</w:t>
      </w:r>
      <w:r>
        <w:t xml:space="preserve">, the modern</w:t>
      </w:r>
      <w:r>
        <w:t xml:space="preserve"> </w:t>
      </w:r>
      <w:r>
        <w:t xml:space="preserve">Chemist</w:t>
      </w:r>
      <w:r>
        <w:t xml:space="preserve"> </w:t>
      </w:r>
      <w:r>
        <w:t xml:space="preserve">is not merely a laboratory specialist but a strategic catalyst for sustainable development. This</w:t>
      </w:r>
      <w:r>
        <w:t xml:space="preserve"> </w:t>
      </w:r>
      <w:r>
        <w:rPr>
          <w:iCs/>
          <w:i/>
        </w:rPr>
        <w:t xml:space="preserve">Thesis Proposal</w:t>
      </w:r>
      <w:r>
        <w:t xml:space="preserve"> </w:t>
      </w:r>
      <w:r>
        <w:t xml:space="preserve">responds to an urgent professional and environmental need by creating locally relevant tools for chemical practitioners in Malaysia's economic epicenter. By centering the</w:t>
      </w:r>
      <w:r>
        <w:t xml:space="preserve"> </w:t>
      </w:r>
      <w:r>
        <w:t xml:space="preserve">Chemist</w:t>
      </w:r>
      <w:r>
        <w:t xml:space="preserve">'s role within Kuala Lumpur's unique industrial and ecological constraints, this research promises measurable reductions in environmental harm while enhancing workforce competitiveness. It embodies the spirit of "Chemistry for a Better Malaysia" (a national initiative under MOSTI) through actionable science. We request approval to commence this vital work, knowing that every sustainable chemical practice implemented in</w:t>
      </w:r>
      <w:r>
        <w:t xml:space="preserve"> </w:t>
      </w:r>
      <w:r>
        <w:t xml:space="preserve">Malaysia Kuala Lumpur</w:t>
      </w:r>
      <w:r>
        <w:t xml:space="preserve"> </w:t>
      </w:r>
      <w:r>
        <w:t xml:space="preserve">today safeguards communities and ecosystems for generations to come.</w:t>
      </w:r>
    </w:p>
    <w:bookmarkEnd w:id="27"/>
    <w:bookmarkStart w:id="28" w:name="references-selected"/>
    <w:p>
      <w:pPr>
        <w:pStyle w:val="Heading2"/>
      </w:pPr>
      <w:r>
        <w:t xml:space="preserve">References (Selected)</w:t>
      </w:r>
    </w:p>
    <w:p>
      <w:pPr>
        <w:numPr>
          <w:ilvl w:val="0"/>
          <w:numId w:val="1002"/>
        </w:numPr>
        <w:pStyle w:val="Compact"/>
      </w:pPr>
      <w:r>
        <w:t xml:space="preserve">Anastas, P. T., &amp; Warner, J. C. (1998). *Green Chemistry: Theory and Practice*. Oxford University Press.</w:t>
      </w:r>
    </w:p>
    <w:p>
      <w:pPr>
        <w:numPr>
          <w:ilvl w:val="0"/>
          <w:numId w:val="1002"/>
        </w:numPr>
        <w:pStyle w:val="Compact"/>
      </w:pPr>
      <w:r>
        <w:t xml:space="preserve">Ministry of Science, Technology and Innovation (MOSTI). (2023). *Malaysia Green Technology Policy Implementation Review*.</w:t>
      </w:r>
    </w:p>
    <w:p>
      <w:pPr>
        <w:numPr>
          <w:ilvl w:val="0"/>
          <w:numId w:val="1002"/>
        </w:numPr>
        <w:pStyle w:val="Compact"/>
      </w:pPr>
      <w:r>
        <w:t xml:space="preserve">Rahman, S. et al. (2022). "Chemical Waste Management Gaps in Urban Malaysia." *Journal of Environmental Management*, 315, 115378.</w:t>
      </w:r>
    </w:p>
    <w:p>
      <w:pPr>
        <w:numPr>
          <w:ilvl w:val="0"/>
          <w:numId w:val="1002"/>
        </w:numPr>
        <w:pStyle w:val="Compact"/>
      </w:pPr>
      <w:r>
        <w:t xml:space="preserve">Malaysian Department of Environment (DOE). (2023). *Industrial Chemicals Guidelines: Current Compliance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Chemical Practices in Malaysia Kuala Lumpur</dc:title>
  <dc:creator/>
  <dc:language>en</dc:language>
  <cp:keywords/>
  <dcterms:created xsi:type="dcterms:W3CDTF">2026-07-21T13:50:57Z</dcterms:created>
  <dcterms:modified xsi:type="dcterms:W3CDTF">2026-07-21T13:50:57Z</dcterms:modified>
</cp:coreProperties>
</file>

<file path=docProps/custom.xml><?xml version="1.0" encoding="utf-8"?>
<Properties xmlns="http://schemas.openxmlformats.org/officeDocument/2006/custom-properties" xmlns:vt="http://schemas.openxmlformats.org/officeDocument/2006/docPropsVTypes"/>
</file>