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Green</w:t>
      </w:r>
      <w:r>
        <w:t xml:space="preserve"> </w:t>
      </w:r>
      <w:r>
        <w:t xml:space="preserve">Catalysis</w:t>
      </w:r>
      <w:r>
        <w:t xml:space="preserve"> </w:t>
      </w:r>
      <w:r>
        <w:t xml:space="preserve">for</w:t>
      </w:r>
      <w:r>
        <w:t xml:space="preserve"> </w:t>
      </w:r>
      <w:r>
        <w:t xml:space="preserve">Petrochemical</w:t>
      </w:r>
      <w:r>
        <w:t xml:space="preserve"> </w:t>
      </w:r>
      <w:r>
        <w:t xml:space="preserve">Refineries</w:t>
      </w:r>
      <w:r>
        <w:t xml:space="preserve"> </w:t>
      </w:r>
      <w:r>
        <w:t xml:space="preserve">in</w:t>
      </w:r>
      <w:r>
        <w:t xml:space="preserve"> </w:t>
      </w:r>
      <w:r>
        <w:t xml:space="preserve">Moscow</w:t>
      </w:r>
    </w:p>
    <w:bookmarkStart w:id="27" w:name="X3f1e49c924775c94272090ed37e8aafa9e26027"/>
    <w:p>
      <w:pPr>
        <w:pStyle w:val="Heading1"/>
      </w:pPr>
      <w:r>
        <w:t xml:space="preserve">Thesis Proposal: Developing Sustainable Catalytic Processes for Petrochemical Refineries in the Moscow Region, Russia</w:t>
      </w:r>
    </w:p>
    <w:p>
      <w:pPr>
        <w:pStyle w:val="FirstParagraph"/>
      </w:pPr>
      <w:r>
        <w:rPr>
          <w:bCs/>
          <w:b/>
        </w:rPr>
        <w:t xml:space="preserve">Submitted by:</w:t>
      </w:r>
      <w:r>
        <w:t xml:space="preserve"> </w:t>
      </w:r>
      <w:r>
        <w:t xml:space="preserve">[Candidate Name]</w:t>
      </w:r>
      <w:r>
        <w:t xml:space="preserve"> </w:t>
      </w:r>
      <w:r>
        <w:rPr>
          <w:bCs/>
          <w:b/>
        </w:rPr>
        <w:t xml:space="preserve">Supervisor:</w:t>
      </w:r>
      <w:r>
        <w:t xml:space="preserve"> </w:t>
      </w:r>
      <w:r>
        <w:t xml:space="preserve">Prof. Dr. Elena Petrova, Department of Chemistry, Moscow State University (Lomonosov)</w:t>
      </w:r>
      <w:r>
        <w:t xml:space="preserve"> </w:t>
      </w:r>
      <w:r>
        <w:rPr>
          <w:bCs/>
          <w:b/>
        </w:rPr>
        <w:t xml:space="preserve">Institution:</w:t>
      </w:r>
      <w:r>
        <w:t xml:space="preserve"> </w:t>
      </w:r>
      <w:r>
        <w:t xml:space="preserve">Russian Academy of Sciences – Moscow Center for Advanced Chemical Research</w:t>
      </w:r>
      <w:r>
        <w:t xml:space="preserve"> </w:t>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doctoral research project focused on developing novel heterogeneous catalysts to enhance the sustainability and efficiency of petrochemical refining processes within industrial facilities in Russia, with particular emphasis on the Moscow metropolitan region. As Russia’s chemical industry faces mounting pressure to reduce carbon emissions while maintaining energy security, this work directly addresses national strategic priorities outlined in the</w:t>
      </w:r>
      <w:r>
        <w:t xml:space="preserve"> </w:t>
      </w:r>
      <w:r>
        <w:rPr>
          <w:iCs/>
          <w:i/>
        </w:rPr>
        <w:t xml:space="preserve">Russian Chemical Industry Development Strategy 2030</w:t>
      </w:r>
      <w:r>
        <w:t xml:space="preserve">. The proposed research will be conducted by a dedicated Chemist at leading Moscow-based institutions including the Skolkovo Institute of Science and Technology (Skoltech) and the N. D. Zelinsky Institute of Organic Chemistry, under the supervision of prominent Russian chemists. This thesis aims to design and optimize catalysts for selective olefin production from heavy crude fractions—a critical process for Moscow-region refineries—thereby reducing energy consumption by 15–20% and lowering CO</w:t>
      </w:r>
      <w:r>
        <w:rPr>
          <w:vertAlign w:val="subscript"/>
        </w:rPr>
        <w:t xml:space="preserve">2</w:t>
      </w:r>
      <w:r>
        <w:t xml:space="preserve"> </w:t>
      </w:r>
      <w:r>
        <w:t xml:space="preserve">emissions per unit output. The outcomes will position Russia as a leader in green chemistry innovation, directly supporting the Moscow government’s</w:t>
      </w:r>
      <w:r>
        <w:t xml:space="preserve"> </w:t>
      </w:r>
      <w:r>
        <w:rPr>
          <w:iCs/>
          <w:i/>
        </w:rPr>
        <w:t xml:space="preserve">Green Economy Initiative</w:t>
      </w:r>
      <w:r>
        <w:t xml:space="preserve">.</w:t>
      </w:r>
    </w:p>
    <w:bookmarkEnd w:id="20"/>
    <w:bookmarkStart w:id="21" w:name="X3ea19ba7d29f8b577a5a383203c701b6d4bd38e"/>
    <w:p>
      <w:pPr>
        <w:pStyle w:val="Heading2"/>
      </w:pPr>
      <w:r>
        <w:t xml:space="preserve">Introduction: Context for the Chemist in Modern Russia</w:t>
      </w:r>
    </w:p>
    <w:p>
      <w:pPr>
        <w:pStyle w:val="FirstParagraph"/>
      </w:pPr>
      <w:r>
        <w:t xml:space="preserve">Russia holds significant global influence in chemical manufacturing, with Moscow serving as its central hub for research, policy, and industrial innovation. The city hosts over 60% of Russia’s high-technology chemical firms and the nation’s premier chemistry faculties (e.g., Lomonosov MSU, MEPhI). However, Russia’s reliance on traditional petrochemical processes—a legacy of Soviet-era infrastructure—has led to inefficiencies that conflict with international climate commitments and domestic environmental regulations. The role of the</w:t>
      </w:r>
      <w:r>
        <w:t xml:space="preserve"> </w:t>
      </w:r>
      <w:r>
        <w:rPr>
          <w:bCs/>
          <w:b/>
        </w:rPr>
        <w:t xml:space="preserve">Chemist</w:t>
      </w:r>
      <w:r>
        <w:t xml:space="preserve"> </w:t>
      </w:r>
      <w:r>
        <w:t xml:space="preserve">in this context is not merely academic but strategically vital: Russian industries require homegrown expertise to transition toward catalytic technologies aligned with both economic resilience and global standards. This thesis directly responds to the call from the Ministry of Science and Higher Education of Russia for doctoral research targeting sustainable industrial chemistry solutions. The Moscow location is paramount, as refineries in the Moscow Oblast (e.g., Nizhny Novgorod, Kaluga) collectively process 30% of Russia’s crude oil, making them ideal testbeds for scalable innovations.</w:t>
      </w:r>
    </w:p>
    <w:bookmarkEnd w:id="21"/>
    <w:bookmarkStart w:id="22" w:name="literature-review-and-research-gap"/>
    <w:p>
      <w:pPr>
        <w:pStyle w:val="Heading2"/>
      </w:pPr>
      <w:r>
        <w:t xml:space="preserve">Literature Review and Research Gap</w:t>
      </w:r>
    </w:p>
    <w:p>
      <w:pPr>
        <w:pStyle w:val="FirstParagraph"/>
      </w:pPr>
      <w:r>
        <w:t xml:space="preserve">Global research on heterogeneous catalysis—particularly in zeolite-based systems for olefin production—is extensive. However, studies focusing on catalyst stability under the specific feedstock compositions used in Russian refineries remain scarce. Prior work by Russian chemists (e.g., Kuznetsov et al., 2021 at the Zelinsky Institute) demonstrated promising results with modified MFI zeolites but lacked optimization for high-sulfur crude oils prevalent in Western Siberia and Moscow-region refineries. International literature (e.g., Zhang &amp; Wang, 2022) often overlooks the thermal and hydrothermal conditions common in Russian industrial units. This thesis bridges this gap by integrating Russia’s unique operational constraints into catalyst design—ensuring that the resulting</w:t>
      </w:r>
      <w:r>
        <w:t xml:space="preserve"> </w:t>
      </w:r>
      <w:r>
        <w:rPr>
          <w:bCs/>
          <w:b/>
        </w:rPr>
        <w:t xml:space="preserve">Chemist</w:t>
      </w:r>
      <w:r>
        <w:t xml:space="preserve">-developed solutions are not only scientifically robust but also practically deployable within Moscow’s industrial ecosystem. Crucially, it aligns with Russia’s national goal of reducing greenhouse gas emissions from chemical manufacturing by 40% by 2035, as mandated under the Paris Agreement framework.</w:t>
      </w:r>
    </w:p>
    <w:bookmarkEnd w:id="22"/>
    <w:bookmarkStart w:id="23" w:name="research-objectives-and-methodology"/>
    <w:p>
      <w:pPr>
        <w:pStyle w:val="Heading2"/>
      </w:pPr>
      <w:r>
        <w:t xml:space="preserve">Research Objectives and Methodology</w:t>
      </w:r>
    </w:p>
    <w:p>
      <w:pPr>
        <w:pStyle w:val="FirstParagraph"/>
      </w:pPr>
      <w:r>
        <w:t xml:space="preserve">This thesis will pursue three interconnected objectives:</w:t>
      </w:r>
    </w:p>
    <w:p>
      <w:pPr>
        <w:numPr>
          <w:ilvl w:val="0"/>
          <w:numId w:val="1001"/>
        </w:numPr>
        <w:pStyle w:val="Compact"/>
      </w:pPr>
      <w:r>
        <w:rPr>
          <w:bCs/>
          <w:b/>
        </w:rPr>
        <w:t xml:space="preserve">Objective 1:</w:t>
      </w:r>
      <w:r>
        <w:t xml:space="preserve"> </w:t>
      </w:r>
      <w:r>
        <w:t xml:space="preserve">Synthesize and characterize novel catalysts (e.g., hierarchical zeolites with tailored acidity) using Moscow-based facilities at the Skolkovo Advanced Materials Laboratory.</w:t>
      </w:r>
    </w:p>
    <w:p>
      <w:pPr>
        <w:numPr>
          <w:ilvl w:val="0"/>
          <w:numId w:val="1001"/>
        </w:numPr>
        <w:pStyle w:val="Compact"/>
      </w:pPr>
      <w:r>
        <w:rPr>
          <w:bCs/>
          <w:b/>
        </w:rPr>
        <w:t xml:space="preserve">Objective 2:</w:t>
      </w:r>
      <w:r>
        <w:t xml:space="preserve"> </w:t>
      </w:r>
      <w:r>
        <w:t xml:space="preserve">Conduct pilot-scale testing of catalysts in simulated refinery conditions at the GAZ Group’s Moscow-region facility (a key industry partner).</w:t>
      </w:r>
    </w:p>
    <w:p>
      <w:pPr>
        <w:numPr>
          <w:ilvl w:val="0"/>
          <w:numId w:val="1001"/>
        </w:numPr>
        <w:pStyle w:val="Compact"/>
      </w:pPr>
      <w:r>
        <w:rPr>
          <w:bCs/>
          <w:b/>
        </w:rPr>
        <w:t xml:space="preserve">Objective 3:</w:t>
      </w:r>
      <w:r>
        <w:t xml:space="preserve"> </w:t>
      </w:r>
      <w:r>
        <w:t xml:space="preserve">Develop a life-cycle assessment framework to quantify environmental and economic benefits, specifically for Russian operational contexts.</w:t>
      </w:r>
    </w:p>
    <w:p>
      <w:pPr>
        <w:pStyle w:val="FirstParagraph"/>
      </w:pPr>
      <w:r>
        <w:t xml:space="preserve">The methodology combines advanced characterization (XRD, FTIR, TEM at the Lomonosov MSU Chemistry Center), computational modeling (DFT simulations via Moscow’s National Supercomputing Center), and industrial validation. The</w:t>
      </w:r>
      <w:r>
        <w:t xml:space="preserve"> </w:t>
      </w:r>
      <w:r>
        <w:rPr>
          <w:bCs/>
          <w:b/>
        </w:rPr>
        <w:t xml:space="preserve">Chemist</w:t>
      </w:r>
      <w:r>
        <w:t xml:space="preserve"> </w:t>
      </w:r>
      <w:r>
        <w:t xml:space="preserve">will collaborate with engineers from Moscow’s largest energy conglomerates, ensuring real-world relevance. Data collection will prioritize Russian crude oil samples sourced directly from the Lukoil refinery in Podolsk (just 50 km from downtown Moscow), guaranteeing contextual accuracy.</w:t>
      </w:r>
    </w:p>
    <w:bookmarkEnd w:id="23"/>
    <w:bookmarkStart w:id="24" w:name="significance-and-expected-outcomes"/>
    <w:p>
      <w:pPr>
        <w:pStyle w:val="Heading2"/>
      </w:pPr>
      <w:r>
        <w:t xml:space="preserve">Significance and Expected Outcomes</w:t>
      </w:r>
    </w:p>
    <w:p>
      <w:pPr>
        <w:pStyle w:val="FirstParagraph"/>
      </w:pPr>
      <w:r>
        <w:t xml:space="preserve">This research holds transformative potential for Russia’s chemical sector. By optimizing catalytic processes, it promises to reduce energy intensity—critical for Moscow’s energy-intensive industries—and lower reliance on imported catalyst technology (a current vulnerability). The proposed catalysts will be engineered for compatibility with existing refinery infrastructure, minimizing capital expenditure during adoption. Expected outcomes include 3–4 peer-reviewed publications in high-impact journals (*Catalysis Today*, *Russian Journal of Physical Chemistry*), a patent application for the novel synthesis protocol, and a roadmap for industrial implementation endorsed by the Russian Chemical Union. Most importantly, it will train a new generation of</w:t>
      </w:r>
      <w:r>
        <w:t xml:space="preserve"> </w:t>
      </w:r>
      <w:r>
        <w:rPr>
          <w:bCs/>
          <w:b/>
        </w:rPr>
        <w:t xml:space="preserve">Chemist</w:t>
      </w:r>
      <w:r>
        <w:t xml:space="preserve">s equipped to solve Russia’s sustainability challenges—a priority explicitly stated in Moscow’s 2035 Development Strategy.</w:t>
      </w:r>
    </w:p>
    <w:bookmarkEnd w:id="24"/>
    <w:bookmarkStart w:id="25" w:name="timeline-and-resource-requirements"/>
    <w:p>
      <w:pPr>
        <w:pStyle w:val="Heading2"/>
      </w:pPr>
      <w:r>
        <w:t xml:space="preserve">Timeline and Resource Requirements</w:t>
      </w:r>
    </w:p>
    <w:p>
      <w:pPr>
        <w:pStyle w:val="FirstParagraph"/>
      </w:pPr>
      <w:r>
        <w:t xml:space="preserve">The proposed 4-year doctoral program is structured as follows:</w:t>
      </w:r>
    </w:p>
    <w:p>
      <w:pPr>
        <w:numPr>
          <w:ilvl w:val="0"/>
          <w:numId w:val="1002"/>
        </w:numPr>
        <w:pStyle w:val="Compact"/>
      </w:pPr>
      <w:r>
        <w:rPr>
          <w:iCs/>
          <w:i/>
        </w:rPr>
        <w:t xml:space="preserve">Year 1:</w:t>
      </w:r>
      <w:r>
        <w:t xml:space="preserve"> </w:t>
      </w:r>
      <w:r>
        <w:t xml:space="preserve">Catalyst design, synthesis, and lab-scale characterization (MSU/Lomonosov facilities)</w:t>
      </w:r>
    </w:p>
    <w:p>
      <w:pPr>
        <w:numPr>
          <w:ilvl w:val="0"/>
          <w:numId w:val="1002"/>
        </w:numPr>
        <w:pStyle w:val="Compact"/>
      </w:pPr>
      <w:r>
        <w:rPr>
          <w:iCs/>
          <w:i/>
        </w:rPr>
        <w:t xml:space="preserve">Year 2:</w:t>
      </w:r>
      <w:r>
        <w:t xml:space="preserve"> </w:t>
      </w:r>
      <w:r>
        <w:t xml:space="preserve">Computational modeling and pilot testing at Skoltech/Moscow industrial sites</w:t>
      </w:r>
    </w:p>
    <w:p>
      <w:pPr>
        <w:numPr>
          <w:ilvl w:val="0"/>
          <w:numId w:val="1002"/>
        </w:numPr>
        <w:pStyle w:val="Compact"/>
      </w:pPr>
      <w:r>
        <w:rPr>
          <w:iCs/>
          <w:i/>
        </w:rPr>
        <w:t xml:space="preserve">Year 3:</w:t>
      </w:r>
      <w:r>
        <w:t xml:space="preserve"> </w:t>
      </w:r>
      <w:r>
        <w:t xml:space="preserve">Industrial validation with partner refineries; LCA development</w:t>
      </w:r>
    </w:p>
    <w:p>
      <w:pPr>
        <w:numPr>
          <w:ilvl w:val="0"/>
          <w:numId w:val="1002"/>
        </w:numPr>
        <w:pStyle w:val="Compact"/>
      </w:pPr>
      <w:r>
        <w:rPr>
          <w:iCs/>
          <w:i/>
        </w:rPr>
        <w:t xml:space="preserve">Year 4:</w:t>
      </w:r>
      <w:r>
        <w:t xml:space="preserve"> </w:t>
      </w:r>
      <w:r>
        <w:t xml:space="preserve">Thesis writing, patent filing, and policy recommendations for Russian ministries.</w:t>
      </w:r>
    </w:p>
    <w:p>
      <w:pPr>
        <w:pStyle w:val="FirstParagraph"/>
      </w:pPr>
      <w:r>
        <w:t xml:space="preserve">Necessary resources include access to Moscow’s National Research University infrastructure (funded via the Ministry of Science), partnerships with industry leaders (e.g., Gazprom Neft), and a modest budget for catalyst precursors. All facilities are located within Moscow or its immediate vicinity, ensuring seamless integration with Russia’s scientific ecosystem.</w:t>
      </w:r>
    </w:p>
    <w:bookmarkEnd w:id="25"/>
    <w:bookmarkStart w:id="26" w:name="Xbdd3646a70846a1ba6a6454849fff2a608c366b"/>
    <w:p>
      <w:pPr>
        <w:pStyle w:val="Heading2"/>
      </w:pPr>
      <w:r>
        <w:t xml:space="preserve">Conclusion: A Strategic Contribution to Russia's Scientific Leadership</w:t>
      </w:r>
    </w:p>
    <w:p>
      <w:pPr>
        <w:pStyle w:val="FirstParagraph"/>
      </w:pPr>
      <w:r>
        <w:t xml:space="preserve">This Thesis Proposal represents a focused, actionable response to the urgent need for sustainable innovation in Russia’s chemical industry. By grounding research in the realities of Moscow-region refineries and leveraging the city’s unparalleled concentration of chemistry expertise, it directly supports Russia’s vision for technological sovereignty in green chemistry. The work will produce not only a world-class doctoral thesis but also tangible tools to empower Russian</w:t>
      </w:r>
      <w:r>
        <w:t xml:space="preserve"> </w:t>
      </w:r>
      <w:r>
        <w:rPr>
          <w:bCs/>
          <w:b/>
        </w:rPr>
        <w:t xml:space="preserve">Chemist</w:t>
      </w:r>
      <w:r>
        <w:t xml:space="preserve">s as catalysts for national progress. In an era where chemical engineering is central to energy transition and industrial competitiveness, this project positions Moscow—not just as a historical center of chemistry, but as the crucible for Russia’s next generation of scientific excellence.</w:t>
      </w:r>
    </w:p>
    <w:p>
      <w:pPr>
        <w:pStyle w:val="BodyText"/>
      </w:pPr>
      <w:r>
        <w:rPr>
          <w:iCs/>
          <w:i/>
        </w:rPr>
        <w:t xml:space="preserve">This proposal aligns with the Russian Federal Target Program “Science and Universities 2013–2020” (revised 2023), emphasizing applied research in strategic sectors. It is submitted for approval by the Academic Council of Moscow State University’s Chemistry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Green Catalysis for Petrochemical Refineries in Moscow</dc:title>
  <dc:creator/>
  <dc:language>en</dc:language>
  <cp:keywords/>
  <dcterms:created xsi:type="dcterms:W3CDTF">2026-07-20T01:59:45Z</dcterms:created>
  <dcterms:modified xsi:type="dcterms:W3CDTF">2026-07-20T01:59:45Z</dcterms:modified>
</cp:coreProperties>
</file>

<file path=docProps/custom.xml><?xml version="1.0" encoding="utf-8"?>
<Properties xmlns="http://schemas.openxmlformats.org/officeDocument/2006/custom-properties" xmlns:vt="http://schemas.openxmlformats.org/officeDocument/2006/docPropsVTypes"/>
</file>