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Almaty,</w:t>
      </w:r>
      <w:r>
        <w:t xml:space="preserve"> </w:t>
      </w:r>
      <w:r>
        <w:t xml:space="preserve">Kazakhstan</w:t>
      </w:r>
    </w:p>
    <w:bookmarkStart w:id="31" w:name="X39df0ec3ef578daed01fcc86725b33e151cf869"/>
    <w:p>
      <w:pPr>
        <w:pStyle w:val="Heading1"/>
      </w:pPr>
      <w:r>
        <w:t xml:space="preserve">Thesis Proposal: Sustainable Infrastructure Development for Civil Engineers in Almaty, Kazakhstan</w:t>
      </w:r>
    </w:p>
    <w:bookmarkStart w:id="20" w:name="introduction-and-background"/>
    <w:p>
      <w:pPr>
        <w:pStyle w:val="Heading2"/>
      </w:pPr>
      <w:r>
        <w:t xml:space="preserve">1. Introduction and Background</w:t>
      </w:r>
    </w:p>
    <w:p>
      <w:pPr>
        <w:pStyle w:val="FirstParagraph"/>
      </w:pPr>
      <w:r>
        <w:t xml:space="preserve">The rapid urbanization of Almaty, the largest city in</w:t>
      </w:r>
      <w:r>
        <w:t xml:space="preserve"> </w:t>
      </w:r>
      <w:r>
        <w:rPr>
          <w:bCs/>
          <w:b/>
        </w:rPr>
        <w:t xml:space="preserve">Kazakhstan</w:t>
      </w:r>
      <w:r>
        <w:t xml:space="preserve">, presents unprecedented challenges for modern</w:t>
      </w:r>
      <w:r>
        <w:t xml:space="preserve"> </w:t>
      </w:r>
      <w:r>
        <w:rPr>
          <w:bCs/>
          <w:b/>
        </w:rPr>
        <w:t xml:space="preserve">Civil Engineer</w:t>
      </w:r>
      <w:r>
        <w:t xml:space="preserve">s. As the economic and cultural hub of Central Asia, Almaty faces critical infrastructure demands due to its mountainous terrain, seismic activity (regionally classified as Zone 7-8 on seismic maps), and extreme climate variations ranging from -30°C winter temperatures to 40°C summer heatwaves. With a population exceeding 2 million and annual urban expansion rates of 3.5%, the city's aging infrastructure—including bridges, drainage systems, and residential complexes—struggles to meet contemporary safety standards. This thesis addresses the urgent need for resilient, climate-adaptive infrastructure solutions specifically tailored to Almaty's unique environmental context, positioning</w:t>
      </w:r>
      <w:r>
        <w:t xml:space="preserve"> </w:t>
      </w:r>
      <w:r>
        <w:rPr>
          <w:bCs/>
          <w:b/>
        </w:rPr>
        <w:t xml:space="preserve">Civil Engineer</w:t>
      </w:r>
      <w:r>
        <w:t xml:space="preserve">s as pivotal actors in Kazakhstan's sustainable development agenda.</w:t>
      </w:r>
    </w:p>
    <w:bookmarkEnd w:id="20"/>
    <w:bookmarkStart w:id="21" w:name="problem-statement"/>
    <w:p>
      <w:pPr>
        <w:pStyle w:val="Heading2"/>
      </w:pPr>
      <w:r>
        <w:t xml:space="preserve">2. Problem Statement</w:t>
      </w:r>
    </w:p>
    <w:p>
      <w:pPr>
        <w:pStyle w:val="FirstParagraph"/>
      </w:pPr>
      <w:r>
        <w:t xml:space="preserve">Current infrastructure planning in</w:t>
      </w:r>
      <w:r>
        <w:t xml:space="preserve"> </w:t>
      </w:r>
      <w:r>
        <w:rPr>
          <w:bCs/>
          <w:b/>
        </w:rPr>
        <w:t xml:space="preserve">Kazakhstan Almaty</w:t>
      </w:r>
      <w:r>
        <w:t xml:space="preserve"> </w:t>
      </w:r>
      <w:r>
        <w:t xml:space="preserve">remains largely reactive rather than proactive, leading to costly failures during extreme weather events. Recent incidents include the 2019 collapse of a flood-control channel during unprecedented spring melt and recurring structural issues in high-rise buildings due to inadequate seismic retrofitting. The Ministry of Construction reports that 65% of Almaty's critical infrastructure was designed before 1995, lacking modern resilience standards. Crucially, existing engineering curricula in Kazakhstani universities insufficiently integrate local environmental data into design methodologies, creating a skills gap for emerging</w:t>
      </w:r>
      <w:r>
        <w:t xml:space="preserve"> </w:t>
      </w:r>
      <w:r>
        <w:rPr>
          <w:bCs/>
          <w:b/>
        </w:rPr>
        <w:t xml:space="preserve">Civil Engineer</w:t>
      </w:r>
      <w:r>
        <w:t xml:space="preserve">s tasked with safeguarding urban centers. This proposal investigates how context-specific engineering frameworks can transform infrastructure outcomes in Almaty.</w:t>
      </w:r>
    </w:p>
    <w:bookmarkEnd w:id="21"/>
    <w:bookmarkStart w:id="22" w:name="literature-review-gaps-and-context"/>
    <w:p>
      <w:pPr>
        <w:pStyle w:val="Heading2"/>
      </w:pPr>
      <w:r>
        <w:t xml:space="preserve">3. Literature Review (Gaps and Context)</w:t>
      </w:r>
    </w:p>
    <w:p>
      <w:pPr>
        <w:pStyle w:val="FirstParagraph"/>
      </w:pPr>
      <w:r>
        <w:t xml:space="preserve">Global studies on seismic-resistant design (e.g., FEMA P-751) and climate-responsive infrastructure (IPCC AR6) offer valuable principles, but their direct application to Almaty's context is limited. Local research from the Kazakh National Technical University (KazNTU) focuses primarily on theoretical models without field validation in Almaty's microclimates. Notably, a 2021 study by the Institute of Geophysics found that 42% of Almaty's building stock exhibits non-compliance with updated seismic codes due to cost constraints—highlighting a critical disconnect between academic research and on-site implementation. This thesis bridges that gap by synthesizing global best practices with Almaty-specific data (e.g., soil liquefaction maps from the Geotechnical Survey Office, precipitation patterns from Almaty Meteorological Service), creating an actionable toolkit for</w:t>
      </w:r>
      <w:r>
        <w:t xml:space="preserve"> </w:t>
      </w:r>
      <w:r>
        <w:rPr>
          <w:bCs/>
          <w:b/>
        </w:rPr>
        <w:t xml:space="preserve">Civil Engineer</w:t>
      </w:r>
      <w:r>
        <w:t xml:space="preserve">s operating in Kazakhstan.</w:t>
      </w:r>
    </w:p>
    <w:bookmarkEnd w:id="22"/>
    <w:bookmarkStart w:id="23" w:name="research-objectives"/>
    <w:p>
      <w:pPr>
        <w:pStyle w:val="Heading2"/>
      </w:pPr>
      <w:r>
        <w:t xml:space="preserve">4. Research Objectives</w:t>
      </w:r>
    </w:p>
    <w:p>
      <w:pPr>
        <w:numPr>
          <w:ilvl w:val="0"/>
          <w:numId w:val="1001"/>
        </w:numPr>
        <w:pStyle w:val="Compact"/>
      </w:pPr>
      <w:r>
        <w:t xml:space="preserve">To develop a seismic vulnerability assessment protocol calibrated for Almaty's unique soil-structure interactions and micro-seismicity.</w:t>
      </w:r>
    </w:p>
    <w:p>
      <w:pPr>
        <w:numPr>
          <w:ilvl w:val="0"/>
          <w:numId w:val="1001"/>
        </w:numPr>
        <w:pStyle w:val="Compact"/>
      </w:pPr>
      <w:r>
        <w:t xml:space="preserve">To design climate-resilient drainage systems incorporating Almaty's 150mm average annual snowmelt runoff data (vs. global averages of 70mm).</w:t>
      </w:r>
    </w:p>
    <w:p>
      <w:pPr>
        <w:numPr>
          <w:ilvl w:val="0"/>
          <w:numId w:val="1001"/>
        </w:numPr>
        <w:pStyle w:val="Compact"/>
      </w:pPr>
      <w:r>
        <w:t xml:space="preserve">To create a cost-benefit framework for retrofitting priority infrastructure zones, considering Kazakhstan's economic constraints.</w:t>
      </w:r>
    </w:p>
    <w:p>
      <w:pPr>
        <w:numPr>
          <w:ilvl w:val="0"/>
          <w:numId w:val="1001"/>
        </w:numPr>
        <w:pStyle w:val="Compact"/>
      </w:pPr>
      <w:r>
        <w:t xml:space="preserve">To propose curriculum enhancements for Kazakhstani civil engineering programs integrating Almaty case studies into core coursework.</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phase-1-data-synthesis-months-1-3"/>
    <w:p>
      <w:pPr>
        <w:pStyle w:val="Heading3"/>
      </w:pPr>
      <w:r>
        <w:t xml:space="preserve">Phase 1: Data Synthesis (Months 1-3)</w:t>
      </w:r>
    </w:p>
    <w:p>
      <w:pPr>
        <w:numPr>
          <w:ilvl w:val="0"/>
          <w:numId w:val="1002"/>
        </w:numPr>
        <w:pStyle w:val="Compact"/>
      </w:pPr>
      <w:r>
        <w:t xml:space="preserve">Analyze Almaty's infrastructure inventory via the City Development Agency database.</w:t>
      </w:r>
    </w:p>
    <w:p>
      <w:pPr>
        <w:numPr>
          <w:ilvl w:val="0"/>
          <w:numId w:val="1002"/>
        </w:numPr>
        <w:pStyle w:val="Compact"/>
      </w:pPr>
      <w:r>
        <w:t xml:space="preserve">Integrate geospatial data from Kazakhstan’s Geological Survey (soil composition, seismic zones) and meteorological records (50-year climate dataset).</w:t>
      </w:r>
    </w:p>
    <w:bookmarkEnd w:id="24"/>
    <w:bookmarkStart w:id="25" w:name="phase-2-field-validation-months-4-8"/>
    <w:p>
      <w:pPr>
        <w:pStyle w:val="Heading3"/>
      </w:pPr>
      <w:r>
        <w:t xml:space="preserve">Phase 2: Field Validation (Months 4-8)</w:t>
      </w:r>
    </w:p>
    <w:p>
      <w:pPr>
        <w:numPr>
          <w:ilvl w:val="0"/>
          <w:numId w:val="1003"/>
        </w:numPr>
        <w:pStyle w:val="Compact"/>
      </w:pPr>
      <w:r>
        <w:t xml:space="preserve">Conduct structural audits of 15 critical sites (e.g., Choktoi Bridge, Central District pipelines) using drone-based LiDAR and ground-penetrating radar.</w:t>
      </w:r>
    </w:p>
    <w:p>
      <w:pPr>
        <w:numPr>
          <w:ilvl w:val="0"/>
          <w:numId w:val="1003"/>
        </w:numPr>
        <w:pStyle w:val="Compact"/>
      </w:pPr>
      <w:r>
        <w:t xml:space="preserve">Interview 30+ local engineers from Almaty’s Municipal Construction Department on implementation barriers.</w:t>
      </w:r>
    </w:p>
    <w:bookmarkEnd w:id="25"/>
    <w:bookmarkStart w:id="26" w:name="X19ddeb918da75b6a8835284a89d26747fcef959"/>
    <w:p>
      <w:pPr>
        <w:pStyle w:val="Heading3"/>
      </w:pPr>
      <w:r>
        <w:t xml:space="preserve">Phase 3: Solution Design &amp; Policy Integration (Months 9-12)</w:t>
      </w:r>
    </w:p>
    <w:p>
      <w:pPr>
        <w:numPr>
          <w:ilvl w:val="0"/>
          <w:numId w:val="1004"/>
        </w:numPr>
        <w:pStyle w:val="Compact"/>
      </w:pPr>
      <w:r>
        <w:t xml:space="preserve">Develop prototype designs for two high-risk zones (e.g., a seismic retrofit model for the Abylai Khan district, a permeable pavement system for flood-prone streets).</w:t>
      </w:r>
    </w:p>
    <w:p>
      <w:pPr>
        <w:numPr>
          <w:ilvl w:val="0"/>
          <w:numId w:val="1004"/>
        </w:numPr>
        <w:pStyle w:val="Compact"/>
      </w:pPr>
      <w:r>
        <w:t xml:space="preserve">Collaborate with Kazakhstan’s Ministry of Construction to draft policy recommendations aligned with the 2050 National Infrastructure Strategy.</w:t>
      </w:r>
    </w:p>
    <w:bookmarkEnd w:id="26"/>
    <w:bookmarkEnd w:id="27"/>
    <w:bookmarkStart w:id="28" w:name="expected-outcomes-and-significance"/>
    <w:p>
      <w:pPr>
        <w:pStyle w:val="Heading2"/>
      </w:pPr>
      <w:r>
        <w:t xml:space="preserve">6. Expected Outcomes and Significance</w:t>
      </w:r>
    </w:p>
    <w:p>
      <w:pPr>
        <w:pStyle w:val="FirstParagraph"/>
      </w:pPr>
      <w:r>
        <w:t xml:space="preserve">The research will deliver a three-part contribution:</w:t>
      </w:r>
    </w:p>
    <w:p>
      <w:pPr>
        <w:numPr>
          <w:ilvl w:val="0"/>
          <w:numId w:val="1005"/>
        </w:numPr>
        <w:pStyle w:val="Compact"/>
      </w:pPr>
      <w:r>
        <w:rPr>
          <w:bCs/>
          <w:b/>
        </w:rPr>
        <w:t xml:space="preserve">Academic:</w:t>
      </w:r>
      <w:r>
        <w:t xml:space="preserve"> </w:t>
      </w:r>
      <w:r>
        <w:t xml:space="preserve">A validated engineering framework published in the Journal of Earthquake Engineering, specifically addressing Central Asian seismic micro-zoning.</w:t>
      </w:r>
    </w:p>
    <w:p>
      <w:pPr>
        <w:numPr>
          <w:ilvl w:val="0"/>
          <w:numId w:val="1005"/>
        </w:numPr>
        <w:pStyle w:val="Compact"/>
      </w:pPr>
      <w:r>
        <w:rPr>
          <w:bCs/>
          <w:b/>
        </w:rPr>
        <w:t xml:space="preserve">Professional:</w:t>
      </w:r>
      <w:r>
        <w:t xml:space="preserve"> </w:t>
      </w:r>
      <w:r>
        <w:t xml:space="preserve">An open-access digital toolkit for Almaty-based</w:t>
      </w:r>
      <w:r>
        <w:t xml:space="preserve"> </w:t>
      </w:r>
      <w:r>
        <w:rPr>
          <w:bCs/>
          <w:b/>
        </w:rPr>
        <w:t xml:space="preserve">Civil Engineer</w:t>
      </w:r>
      <w:r>
        <w:t xml:space="preserve">s including soil assessment templates and climate-adaptive material cost calculators (e.g., optimizing locally sourced basalt aggregate for concrete).</w:t>
      </w:r>
    </w:p>
    <w:p>
      <w:pPr>
        <w:numPr>
          <w:ilvl w:val="0"/>
          <w:numId w:val="1005"/>
        </w:numPr>
        <w:pStyle w:val="Compact"/>
      </w:pPr>
      <w:r>
        <w:rPr>
          <w:bCs/>
          <w:b/>
        </w:rPr>
        <w:t xml:space="preserve">Societal:</w:t>
      </w:r>
      <w:r>
        <w:t xml:space="preserve"> </w:t>
      </w:r>
      <w:r>
        <w:t xml:space="preserve">Direct impact through proposed infrastructure upgrades reducing flood-related disruptions by an estimated 40% in pilot zones, enhancing public safety for over 250,000 residents.</w:t>
      </w:r>
    </w:p>
    <w:p>
      <w:pPr>
        <w:pStyle w:val="FirstParagraph"/>
      </w:pPr>
      <w:r>
        <w:t xml:space="preserve">This work aligns with Kazakhstan's "Digital Kazakhstan" initiative and UN Sustainable Development Goals 9 (Industry, Innovation) and 11 (Sustainable Cities), positioning Almaty as a model for Central Asian urban resilience. Crucially, it addresses the critical shortage of locally relevant engineering expertise—currently only 8% of Kazakhstani civil engineers specialize in seismic design per the Association of Kazakhstan Engineers.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Data acquisition from Kazakhstani government archives; literature review completion.</w:t>
            </w:r>
          </w:p>
        </w:tc>
      </w:tr>
      <w:tr>
        <w:tc>
          <w:tcPr/>
          <w:p>
            <w:pPr>
              <w:pStyle w:val="Compact"/>
              <w:jc w:val="left"/>
            </w:pPr>
            <w:r>
              <w:t xml:space="preserve">Q2 2024</w:t>
            </w:r>
          </w:p>
        </w:tc>
        <w:tc>
          <w:tcPr/>
          <w:p>
            <w:pPr>
              <w:pStyle w:val="Compact"/>
              <w:jc w:val="left"/>
            </w:pPr>
            <w:r>
              <w:t xml:space="preserve">Field surveys in Almaty districts; stakeholder interviews with city planners.</w:t>
            </w:r>
          </w:p>
        </w:tc>
      </w:tr>
      <w:tr>
        <w:tc>
          <w:tcPr/>
          <w:p>
            <w:pPr>
              <w:pStyle w:val="Compact"/>
              <w:jc w:val="left"/>
            </w:pPr>
            <w:r>
              <w:t xml:space="preserve">Q3 2024</w:t>
            </w:r>
          </w:p>
        </w:tc>
        <w:tc>
          <w:tcPr/>
          <w:p>
            <w:pPr>
              <w:pStyle w:val="Compact"/>
              <w:jc w:val="left"/>
            </w:pPr>
            <w:r>
              <w:t xml:space="preserve">Prototype design development; preliminary cost-benefit analysis.</w:t>
            </w:r>
          </w:p>
        </w:tc>
      </w:tr>
      <w:tr>
        <w:tc>
          <w:tcPr/>
          <w:p>
            <w:pPr>
              <w:pStyle w:val="Compact"/>
              <w:jc w:val="left"/>
            </w:pPr>
            <w:r>
              <w:t xml:space="preserve">Q4 2024</w:t>
            </w:r>
          </w:p>
        </w:tc>
        <w:tc>
          <w:tcPr/>
          <w:p>
            <w:pPr>
              <w:pStyle w:val="Compact"/>
              <w:jc w:val="left"/>
            </w:pPr>
            <w:r>
              <w:t xml:space="preserve">Draft policy recommendations; thesis writing and peer review.</w:t>
            </w:r>
          </w:p>
        </w:tc>
      </w:tr>
    </w:tbl>
    <w:p>
      <w:pPr>
        <w:pStyle w:val="BodyText"/>
      </w:pPr>
      <w:r>
        <w:t xml:space="preserve">Required resources include access to Almaty City’s geospatial database (via Memorandum of Understanding with the Department of Urban Development), drone equipment from KazNTU, and $15,000 for fieldwork permits. All data will adhere to Kazakhstan’s National Data Security Law.</w:t>
      </w:r>
    </w:p>
    <w:bookmarkEnd w:id="29"/>
    <w:bookmarkStart w:id="30" w:name="conclusion"/>
    <w:p>
      <w:pPr>
        <w:pStyle w:val="Heading2"/>
      </w:pPr>
      <w:r>
        <w:t xml:space="preserve">8. Conclusion</w:t>
      </w:r>
    </w:p>
    <w:p>
      <w:pPr>
        <w:pStyle w:val="FirstParagraph"/>
      </w:pPr>
      <w:r>
        <w:t xml:space="preserve">This thesis proposal directly responds to the pressing needs of</w:t>
      </w:r>
      <w:r>
        <w:t xml:space="preserve"> </w:t>
      </w:r>
      <w:r>
        <w:rPr>
          <w:bCs/>
          <w:b/>
        </w:rPr>
        <w:t xml:space="preserve">Kazakhstan Almaty</w:t>
      </w:r>
      <w:r>
        <w:t xml:space="preserve"> </w:t>
      </w:r>
      <w:r>
        <w:t xml:space="preserve">by equipping the next generation of</w:t>
      </w:r>
      <w:r>
        <w:t xml:space="preserve"> </w:t>
      </w:r>
      <w:r>
        <w:rPr>
          <w:bCs/>
          <w:b/>
        </w:rPr>
        <w:t xml:space="preserve">Civil Engineer</w:t>
      </w:r>
      <w:r>
        <w:t xml:space="preserve">s with locally validated, sustainable infrastructure solutions. It transcends theoretical academia to deliver actionable tools for a city where infrastructure failure impacts millions daily. By embedding Almaty’s environmental realities into engineering practice—rather than applying generic global standards—the research promises not only to elevate civil engineering in Kazakhstan but also to set a precedent for megacities facing similar climatic and tectonic challenges across Eurasia. As Almaty advances toward its 2030 vision as a "Green Capital," this work will serve as both a technical blueprint and a catalyst for transforming civil engineering education within</w:t>
      </w:r>
      <w:r>
        <w:t xml:space="preserve"> </w:t>
      </w:r>
      <w:r>
        <w:rPr>
          <w:bCs/>
          <w:b/>
        </w:rPr>
        <w:t xml:space="preserve">Kazakhstan</w:t>
      </w:r>
      <w:r>
        <w:t xml:space="preserve">.</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Civil Engineers in Almaty, Kazakhstan</dc:title>
  <dc:creator/>
  <dc:language>en</dc:language>
  <cp:keywords/>
  <dcterms:created xsi:type="dcterms:W3CDTF">2026-07-21T00:55:13Z</dcterms:created>
  <dcterms:modified xsi:type="dcterms:W3CDTF">2026-07-21T00:55:13Z</dcterms:modified>
</cp:coreProperties>
</file>

<file path=docProps/custom.xml><?xml version="1.0" encoding="utf-8"?>
<Properties xmlns="http://schemas.openxmlformats.org/officeDocument/2006/custom-properties" xmlns:vt="http://schemas.openxmlformats.org/officeDocument/2006/docPropsVTypes"/>
</file>