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Resilience</w:t>
      </w:r>
      <w:r>
        <w:t xml:space="preserve"> </w:t>
      </w:r>
      <w:r>
        <w:t xml:space="preserve">for</w:t>
      </w:r>
      <w:r>
        <w:t xml:space="preserve"> </w:t>
      </w:r>
      <w:r>
        <w:t xml:space="preserve">Istanbul's</w:t>
      </w:r>
      <w:r>
        <w:t xml:space="preserve"> </w:t>
      </w:r>
      <w:r>
        <w:t xml:space="preserve">Coastal</w:t>
      </w:r>
      <w:r>
        <w:t xml:space="preserve"> </w:t>
      </w:r>
      <w:r>
        <w:t xml:space="preserve">Zones</w:t>
      </w:r>
    </w:p>
    <w:bookmarkStart w:id="29" w:name="Xc7910a38def7fafab006d5d3c0748510967c456"/>
    <w:p>
      <w:pPr>
        <w:pStyle w:val="Heading1"/>
      </w:pPr>
      <w:r>
        <w:t xml:space="preserve">Thesis Proposal: Enhancing Civil Engineering Practices for Multi-Hazard Resilience in Istanbul, Turkey</w:t>
      </w:r>
    </w:p>
    <w:bookmarkStart w:id="20" w:name="abstract"/>
    <w:p>
      <w:pPr>
        <w:pStyle w:val="Heading2"/>
      </w:pPr>
      <w:r>
        <w:t xml:space="preserve">Abstract</w:t>
      </w:r>
    </w:p>
    <w:p>
      <w:pPr>
        <w:pStyle w:val="FirstParagraph"/>
      </w:pPr>
      <w:r>
        <w:t xml:space="preserve">This thesis proposal addresses the critical need for advanced civil engineering solutions in Istanbul, Turkey's largest metropolitan city facing escalating urbanization, seismic threats, and climate change impacts. With a population exceeding 16 million residents concentrated along the Bosphorus Strait and Sea of Marmara coastlines, Istanbul represents a global case study for integrating multi-hazard resilience into sustainable infrastructure planning. Current civil engineering practices in Turkey often prioritize single-risk approaches (e.g., earthquake resistance alone), neglecting compounded threats from coastal erosion, sea-level rise, and flooding. This research proposes a holistic framework for civil engineers to design adaptive infrastructure systems specifically tailored to Istanbul's unique geological, hydrological, and socio-economic context. The study will leverage Istanbul Technical University's seismic hazard databases and Turkish Ministry of Environment’s climate projections to develop site-specific resilience metrics for critical urban corridors like Kadıköy-Üsküdar waterfronts and the historic Sultanahmet district. Expected outcomes include a validated GIS-based decision-support tool for municipal planners, retrofitting guidelines for heritage structures, and policy recommendations aligned with Turkey's National Resilience Strategy 2053.</w:t>
      </w:r>
    </w:p>
    <w:bookmarkEnd w:id="20"/>
    <w:bookmarkStart w:id="21" w:name="introduction-the-istanbul-imperative"/>
    <w:p>
      <w:pPr>
        <w:pStyle w:val="Heading2"/>
      </w:pPr>
      <w:r>
        <w:t xml:space="preserve">1. Introduction: The Istanbul Imperative</w:t>
      </w:r>
    </w:p>
    <w:p>
      <w:pPr>
        <w:pStyle w:val="FirstParagraph"/>
      </w:pPr>
      <w:r>
        <w:t xml:space="preserve">Istanbul's strategic position straddling Europe and Asia has made it Turkey's economic engine, yet this geography subjects it to unparalleled civil engineering challenges. As a city built on alluvial plains with soft soil deposits along the Bosphorus, Istanbul experiences heightened vulnerability to seismic events (evidenced by the 1999 Marmara earthquake) compounded by accelerated coastal erosion rates exceeding 30 cm/year in some sectors. Simultaneously, Turkey's rapid urbanization—driven by rural-to-urban migration and post-conflict displacement—has pressured infrastructure beyond capacity. The current civil engineering curriculum in Turkish universities emphasizes traditional structural design but lacks comprehensive training in integrated hazard management for megacities like Istanbul. This research directly responds to Turkey's Ministry of Transport and Infrastructure’s 2023 call for "climate-adaptive urban infrastructure" and fills a critical gap identified in the 2021 Istanbul Metropolitan Municipality Risk Assessment Report, which highlighted inadequate cross-disciplinary coordination between civil engineers, environmental scientists, and city planners.</w:t>
      </w:r>
    </w:p>
    <w:bookmarkEnd w:id="21"/>
    <w:bookmarkStart w:id="22" w:name="problem-statement"/>
    <w:p>
      <w:pPr>
        <w:pStyle w:val="Heading2"/>
      </w:pPr>
      <w:r>
        <w:t xml:space="preserve">2. Problem Statement</w:t>
      </w:r>
    </w:p>
    <w:p>
      <w:pPr>
        <w:pStyle w:val="FirstParagraph"/>
      </w:pPr>
      <w:r>
        <w:t xml:space="preserve">Existing civil engineering projects in Turkey often adopt siloed approaches to hazard mitigation. For instance, the recent Yavuz Sultan Selim Bridge incorporated earthquake-resistant design but did not integrate coastal flood risk modeling based on updated Istanbul-specific sea-level rise projections (35 cm by 2050 according to TÜBİTAK data). Similarly, seismic retrofitting of historic Ottoman structures in Fatih district frequently overlooks the interaction between ground shaking and liquefaction risks in Istanbul's high-water-table soils. This fragmentation leads to costly post-disaster repairs and undermines Turkey’s commitment to UN Sustainable Development Goal 11 (Sustainable Cities). The core problem is the absence of a unified civil engineering framework for Istanbul that simultaneously addresses: (a) earthquake-induced soil liquefaction, (b) coastal flooding from extreme precipitation events, and (c) infrastructure interdependence in dense urban networks.</w:t>
      </w:r>
    </w:p>
    <w:bookmarkEnd w:id="22"/>
    <w:bookmarkStart w:id="23" w:name="literature-review-gap-analysis"/>
    <w:p>
      <w:pPr>
        <w:pStyle w:val="Heading2"/>
      </w:pPr>
      <w:r>
        <w:t xml:space="preserve">3. Literature Review &amp; Gap Analysis</w:t>
      </w:r>
    </w:p>
    <w:p>
      <w:pPr>
        <w:pStyle w:val="FirstParagraph"/>
      </w:pPr>
      <w:r>
        <w:t xml:space="preserve">Global literature offers robust models for single-hazard resilience—e.g., Japan’s earthquake-resistant frameworks or Netherlands’ delta management—but lacks context-specific adaptation for Mediterranean megacities with complex tectonic histories like Istanbul. Turkish academic work (e.g., Aksoy &amp; Yılmaz, 2020 on seismic microzonation) provides localized hazard data but remains disconnected from urban planning processes. Crucially, no existing study integrates Turkey’s National Earthquake Strategy with Istanbul’s Climate Change Action Plan (adopted 2018). This thesis will bridge this gap by: (i) developing a multi-hazard index combining Istanbul-specific soil parameters and flood models; (ii) validating the framework against historical events like the 2015 İstinye flash floods; and (iii) co-designing solutions with Istanbul Metropolitan Municipality’s Civil Engineering Department to ensure practical applicability.</w:t>
      </w:r>
    </w:p>
    <w:bookmarkEnd w:id="23"/>
    <w:bookmarkStart w:id="24" w:name="research-methodology"/>
    <w:p>
      <w:pPr>
        <w:pStyle w:val="Heading2"/>
      </w:pPr>
      <w:r>
        <w:t xml:space="preserve">4. Research Methodology</w:t>
      </w:r>
    </w:p>
    <w:p>
      <w:pPr>
        <w:pStyle w:val="FirstParagraph"/>
      </w:pPr>
      <w:r>
        <w:t xml:space="preserve">This applied research employs a mixed-methods approach centered on Istanbul. Phase 1 involves GIS-based hazard mapping using: (a) Turkish Geological Survey data for seismic fault lines near Istanbul; (b) satellite imagery from Turkey’s GOKTEK program to quantify coastal erosion rates; and (c) historical rainfall records from the Turkish State Meteorological Service. Phase 2 conducts field surveys in three high-risk neighborhoods—Sarıyer (coastal erosion), Zeytinburnu (liquefaction-prone soil), and Eminönü (historical structure cluster)—collecting geotechnical samples and interviewing local civil engineers about project constraints. Phase 3 utilizes computational modeling with PLAXIS software to simulate infrastructure performance under combined hazard scenarios. Crucially, all data will be contextualized within Turkey’s urban governance framework, referencing laws like the 2019 Building Code (Yapı Kanunu) to ensure regulatory alignment.</w:t>
      </w:r>
    </w:p>
    <w:bookmarkEnd w:id="24"/>
    <w:bookmarkStart w:id="25" w:name="expected-contributions"/>
    <w:p>
      <w:pPr>
        <w:pStyle w:val="Heading2"/>
      </w:pPr>
      <w:r>
        <w:t xml:space="preserve">5. Expected Contributions</w:t>
      </w:r>
    </w:p>
    <w:p>
      <w:pPr>
        <w:pStyle w:val="FirstParagraph"/>
      </w:pPr>
      <w:r>
        <w:t xml:space="preserve">This thesis will deliver three concrete assets for civil engineers in Turkey: First, a standardized resilience scoring system adaptable to Istanbul’s municipal planning departments, addressing the 78% of Turkish municipalities identified by the World Bank as lacking integrated risk assessment tools. Second, a set of retrofitting protocols for heritage structures that balance preservation with modern seismic/flood standards—directly supporting Istanbul’s UNESCO World Heritage Site conservation efforts. Third, an implementation roadmap for Turkey’s Ministry of Environment to mainstream multi-hazard design in national infrastructure projects like the Istanbul Canal megaproject. By grounding solutions in Istanbul’s specific soil mechanics (e.g., Kandilli soils’ high liquefaction potential), the research ensures relevance beyond academic circles toward tangible civil engineering practice in Turkey.</w:t>
      </w:r>
    </w:p>
    <w:bookmarkEnd w:id="25"/>
    <w:bookmarkStart w:id="26" w:name="Xc1376c51197ffaef06b812765fc9de294cccb81"/>
    <w:p>
      <w:pPr>
        <w:pStyle w:val="Heading2"/>
      </w:pPr>
      <w:r>
        <w:t xml:space="preserve">6. Significance for Civil Engineering in Turkey</w:t>
      </w:r>
    </w:p>
    <w:p>
      <w:pPr>
        <w:pStyle w:val="FirstParagraph"/>
      </w:pPr>
      <w:r>
        <w:t xml:space="preserve">Istanbul’s challenges represent a microcosm of urban pressures across Turkey, where 75% of the population lives in cities facing similar seismic and climate vulnerabilities. This thesis directly advances the Turkish Civil Engineers’ Chamber (TCM) initiative to "elevate professional standards for climate-resilient infrastructure." It responds to national priorities like the Türkiye Climate Change Adaptation Plan 2024–2039, which identifies coastal cities as critical intervention zones. For civil engineering education in Turkey, the framework will inform curricular updates at institutions like Yıldız Technical University and Istanbul Technical University—where graduates now enter a job market demanding expertise in multi-hazard systems rather than siloed technical skills.</w:t>
      </w:r>
    </w:p>
    <w:bookmarkEnd w:id="26"/>
    <w:bookmarkStart w:id="27" w:name="timeline-resources"/>
    <w:p>
      <w:pPr>
        <w:pStyle w:val="Heading2"/>
      </w:pPr>
      <w:r>
        <w:t xml:space="preserve">7. Timeline &amp; Resources</w:t>
      </w:r>
    </w:p>
    <w:p>
      <w:pPr>
        <w:pStyle w:val="FirstParagraph"/>
      </w:pPr>
      <w:r>
        <w:t xml:space="preserve">Conducted over 18 months, the research will utilize Istanbul’s open-access datasets from ITU’s Earthquake Engineering Research Center and collaborate with the Istanbul Metropolitan Municipality’s Urban Planning Directorate. Budget requirements ($15,000) cover field survey equipment (e.g., ground-penetrating radar), software licenses for geotechnical modeling, and travel to 3 Istanbul districts. All data will be shared via Turkey’s National Research Database to maximize public benefit.</w:t>
      </w:r>
    </w:p>
    <w:bookmarkEnd w:id="27"/>
    <w:bookmarkStart w:id="28" w:name="conclusion"/>
    <w:p>
      <w:pPr>
        <w:pStyle w:val="Heading2"/>
      </w:pPr>
      <w:r>
        <w:t xml:space="preserve">Conclusion</w:t>
      </w:r>
    </w:p>
    <w:p>
      <w:pPr>
        <w:pStyle w:val="FirstParagraph"/>
      </w:pPr>
      <w:r>
        <w:t xml:space="preserve">This thesis proposal establishes that civil engineering in Turkey must evolve beyond reactive infrastructure toward anticipatory design systems capable of managing compound hazards. By centering Istanbul—a city where 14% of the national GDP is generated but where 60% of critical infrastructure remains at risk—the research delivers actionable solutions for Turkish civil engineers to safeguard communities, preserve cultural heritage, and align with national development goals. The proposed framework transcends academic inquiry; it is a strategic tool for Turkey’s urban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Resilience for Istanbul's Coastal Zones</dc:title>
  <dc:creator/>
  <dc:language>en</dc:language>
  <cp:keywords/>
  <dcterms:created xsi:type="dcterms:W3CDTF">2026-07-19T18:01:45Z</dcterms:created>
  <dcterms:modified xsi:type="dcterms:W3CDTF">2026-07-19T18:01:45Z</dcterms:modified>
</cp:coreProperties>
</file>

<file path=docProps/custom.xml><?xml version="1.0" encoding="utf-8"?>
<Properties xmlns="http://schemas.openxmlformats.org/officeDocument/2006/custom-properties" xmlns:vt="http://schemas.openxmlformats.org/officeDocument/2006/docPropsVTypes"/>
</file>