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Resilience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3089f9a1180310fd1ba11036ced912f76ef4e73"/>
    <w:p>
      <w:pPr>
        <w:pStyle w:val="Heading1"/>
      </w:pPr>
      <w:r>
        <w:t xml:space="preserve">Thesis Proposal: Advancing Resilient Urban Infrastructure Through Innovative Civil Engineering Solutions in the United Kingdom London Context</w:t>
      </w:r>
    </w:p>
    <w:bookmarkStart w:id="20" w:name="introduction-and-background"/>
    <w:p>
      <w:pPr>
        <w:pStyle w:val="Heading2"/>
      </w:pPr>
      <w:r>
        <w:t xml:space="preserve">1. Introduction and Background</w:t>
      </w:r>
    </w:p>
    <w:p>
      <w:pPr>
        <w:pStyle w:val="FirstParagraph"/>
      </w:pPr>
      <w:r>
        <w:t xml:space="preserve">The role of the modern Civil Engineer in metropolitan centers like London, United Kingdom has evolved dramatically due to unprecedented urbanization, climate change impacts, and aging infrastructure. With over 9 million residents and a projected population growth of 15% by 2040 (London Assembly, 2023), London faces critical challenges including flood risk from the River Thames, subsidence in historic buildings, and transportation network congestion. Current infrastructure systems struggle to adapt to these compounded pressures. This Thesis Proposal addresses the urgent need for transformative civil engineering approaches that ensure long-term resilience of London's built environment within the regulatory framework of the United Kingdom.</w:t>
      </w:r>
    </w:p>
    <w:bookmarkEnd w:id="20"/>
    <w:bookmarkStart w:id="21" w:name="problem-statement"/>
    <w:p>
      <w:pPr>
        <w:pStyle w:val="Heading2"/>
      </w:pPr>
      <w:r>
        <w:t xml:space="preserve">2. Problem Statement</w:t>
      </w:r>
    </w:p>
    <w:p>
      <w:pPr>
        <w:pStyle w:val="FirstParagraph"/>
      </w:pPr>
      <w:r>
        <w:t xml:space="preserve">London's infrastructure, while globally recognized for its complexity, exhibits systemic vulnerabilities. The 2013 Thames flood event exposed critical weaknesses in flood defense systems, while recent subsidence incidents in central London (e.g., the 2019 Oxford Street collapse) highlight deteriorating foundations beneath historic structures. Traditional civil engineering practices—focused on reactive maintenance rather than proactive resilience—are insufficient for the United Kingdom's capital city. This research identifies a gap: there is no comprehensive framework integrating real-time environmental monitoring, climate-adaptive design, and socio-economic equity considerations specifically tailored for London's unique geology and urban density.</w:t>
      </w:r>
    </w:p>
    <w:bookmarkEnd w:id="21"/>
    <w:bookmarkStart w:id="22" w:name="literature-review-current-research-gaps"/>
    <w:p>
      <w:pPr>
        <w:pStyle w:val="Heading2"/>
      </w:pPr>
      <w:r>
        <w:t xml:space="preserve">3. Literature Review: Current Research Gaps</w:t>
      </w:r>
    </w:p>
    <w:p>
      <w:pPr>
        <w:pStyle w:val="FirstParagraph"/>
      </w:pPr>
      <w:r>
        <w:t xml:space="preserve">Existing scholarship on civil engineering resilience (e.g., IPCC Special Report on Cities, 2021) emphasizes global applicability but lacks London-specific case studies. UK-based research (Bridges et al., 2020) focuses narrowly on flood management, ignoring interdependencies between transport networks and utility systems. Crucially, no study has examined how emerging technologies like AI-driven structural health monitoring or bio-based construction materials can be implemented within London's constrained urban environment and strict planning regulations. This gap impedes the development of contextually appropriate solutions for a Civil Engineer operating in the United Kingdom London landscape.</w:t>
      </w:r>
    </w:p>
    <w:bookmarkEnd w:id="22"/>
    <w:bookmarkStart w:id="23" w:name="research-objectives"/>
    <w:p>
      <w:pPr>
        <w:pStyle w:val="Heading2"/>
      </w:pPr>
      <w:r>
        <w:t xml:space="preserve">4. Research Objectives</w:t>
      </w:r>
    </w:p>
    <w:p>
      <w:pPr>
        <w:numPr>
          <w:ilvl w:val="0"/>
          <w:numId w:val="1001"/>
        </w:numPr>
        <w:pStyle w:val="Compact"/>
      </w:pPr>
      <w:r>
        <w:t xml:space="preserve">To develop a multi-criteria resilience assessment framework integrating climate projections, structural integrity data, and social vulnerability metrics specific to London's boroughs.</w:t>
      </w:r>
    </w:p>
    <w:p>
      <w:pPr>
        <w:numPr>
          <w:ilvl w:val="0"/>
          <w:numId w:val="1001"/>
        </w:numPr>
        <w:pStyle w:val="Compact"/>
      </w:pPr>
      <w:r>
        <w:t xml:space="preserve">To evaluate the viability of bio-concrete and modular foundation systems in reducing subsidence risks in London's clay-rich geology.</w:t>
      </w:r>
    </w:p>
    <w:p>
      <w:pPr>
        <w:numPr>
          <w:ilvl w:val="0"/>
          <w:numId w:val="1001"/>
        </w:numPr>
        <w:pStyle w:val="Compact"/>
      </w:pPr>
      <w:r>
        <w:t xml:space="preserve">To create a digital twin model for the Thames Crossrail network that simulates climate impact scenarios (e.g., 1.5°C vs. 4°C warming) on infrastructure performance.</w:t>
      </w:r>
    </w:p>
    <w:p>
      <w:pPr>
        <w:numPr>
          <w:ilvl w:val="0"/>
          <w:numId w:val="1001"/>
        </w:numPr>
        <w:pStyle w:val="Compact"/>
      </w:pPr>
      <w:r>
        <w:t xml:space="preserve">To propose policy recommendations for UK government and local authorities enhancing the role of the Civil Engineer in strategic urban planning.</w:t>
      </w:r>
    </w:p>
    <w:bookmarkEnd w:id="23"/>
    <w:bookmarkStart w:id="24" w:name="methodology"/>
    <w:p>
      <w:pPr>
        <w:pStyle w:val="Heading2"/>
      </w:pPr>
      <w:r>
        <w:t xml:space="preserve">5. Methodology</w:t>
      </w:r>
    </w:p>
    <w:p>
      <w:pPr>
        <w:pStyle w:val="FirstParagraph"/>
      </w:pPr>
      <w:r>
        <w:t xml:space="preserve">This research employs a mixed-methods approach grounded in London's reality:</w:t>
      </w:r>
    </w:p>
    <w:p>
      <w:pPr>
        <w:numPr>
          <w:ilvl w:val="0"/>
          <w:numId w:val="1002"/>
        </w:numPr>
        <w:pStyle w:val="Compact"/>
      </w:pPr>
      <w:r>
        <w:rPr>
          <w:bCs/>
          <w:b/>
        </w:rPr>
        <w:t xml:space="preserve">Phase 1: Data Integration</w:t>
      </w:r>
      <w:r>
        <w:t xml:space="preserve"> </w:t>
      </w:r>
      <w:r>
        <w:t xml:space="preserve">– Collaborate with Transport for London (TfL), Environment Agency, and Greater London Authority to access real-time sensor data from 50+ critical infrastructure sites across 8 boroughs. Geospatial analysis will map subsidence hotspots using LiDAR and historical ground movement records.</w:t>
      </w:r>
    </w:p>
    <w:p>
      <w:pPr>
        <w:numPr>
          <w:ilvl w:val="0"/>
          <w:numId w:val="1002"/>
        </w:numPr>
        <w:pStyle w:val="Compact"/>
      </w:pPr>
      <w:r>
        <w:rPr>
          <w:bCs/>
          <w:b/>
        </w:rPr>
        <w:t xml:space="preserve">Phase 2: Material Testing</w:t>
      </w:r>
      <w:r>
        <w:t xml:space="preserve"> </w:t>
      </w:r>
      <w:r>
        <w:t xml:space="preserve">– Lab trials of bio-concrete (using microbial-induced calcite precipitation) under London clay conditions at Imperial College London's Civil Engineering Materials Lab. Comparison with traditional concrete for durability, cost, and carbon footprint (aligned with UK Net Zero 2050 goals).</w:t>
      </w:r>
    </w:p>
    <w:p>
      <w:pPr>
        <w:numPr>
          <w:ilvl w:val="0"/>
          <w:numId w:val="1002"/>
        </w:numPr>
        <w:pStyle w:val="Compact"/>
      </w:pPr>
      <w:r>
        <w:rPr>
          <w:bCs/>
          <w:b/>
        </w:rPr>
        <w:t xml:space="preserve">Phase 3: Digital Simulation</w:t>
      </w:r>
      <w:r>
        <w:t xml:space="preserve"> </w:t>
      </w:r>
      <w:r>
        <w:t xml:space="preserve">– Develop a GIS-based digital twin using Unity software to model Thames flood scenarios (2023–2100) with climate data from Met Office Hadley Centre. Stress-testing infrastructure under extreme weather events.</w:t>
      </w:r>
    </w:p>
    <w:p>
      <w:pPr>
        <w:numPr>
          <w:ilvl w:val="0"/>
          <w:numId w:val="1002"/>
        </w:numPr>
        <w:pStyle w:val="Compact"/>
      </w:pPr>
      <w:r>
        <w:rPr>
          <w:bCs/>
          <w:b/>
        </w:rPr>
        <w:t xml:space="preserve">Phase 4: Stakeholder Co-Design</w:t>
      </w:r>
      <w:r>
        <w:t xml:space="preserve"> </w:t>
      </w:r>
      <w:r>
        <w:t xml:space="preserve">– Workshops with UK-based Civil Engineers from Arup, Balfour Beatty, and City Councils to refine solutions for regulatory compliance (e.g., Building Regulations Part C) and community impact.</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key contributions to civil engineering practice in the United Kingdom London context:</w:t>
      </w:r>
    </w:p>
    <w:p>
      <w:pPr>
        <w:numPr>
          <w:ilvl w:val="0"/>
          <w:numId w:val="1003"/>
        </w:numPr>
        <w:pStyle w:val="Compact"/>
      </w:pPr>
      <w:r>
        <w:rPr>
          <w:bCs/>
          <w:b/>
        </w:rPr>
        <w:t xml:space="preserve">Practical Framework</w:t>
      </w:r>
      <w:r>
        <w:t xml:space="preserve">: A deployable resilience assessment toolkit for Civil Engineers evaluating infrastructure projects against climate scenarios. This addresses the UK government's 2023 Infrastructure Resilience Strategy gap.</w:t>
      </w:r>
    </w:p>
    <w:p>
      <w:pPr>
        <w:numPr>
          <w:ilvl w:val="0"/>
          <w:numId w:val="1003"/>
        </w:numPr>
        <w:pStyle w:val="Compact"/>
      </w:pPr>
      <w:r>
        <w:rPr>
          <w:bCs/>
          <w:b/>
        </w:rPr>
        <w:t xml:space="preserve">Technical Innovation</w:t>
      </w:r>
      <w:r>
        <w:t xml:space="preserve">: Validation of cost-effective, low-carbon materials suitable for London's geology—potentially reducing foundation costs by 18% (projected) while cutting embodied carbon by 30% versus conventional methods.</w:t>
      </w:r>
    </w:p>
    <w:p>
      <w:pPr>
        <w:numPr>
          <w:ilvl w:val="0"/>
          <w:numId w:val="1003"/>
        </w:numPr>
        <w:pStyle w:val="Compact"/>
      </w:pPr>
      <w:r>
        <w:rPr>
          <w:bCs/>
          <w:b/>
        </w:rPr>
        <w:t xml:space="preserve">Policy Impact</w:t>
      </w:r>
      <w:r>
        <w:t xml:space="preserve">: Evidence-based recommendations for updating the UK's National Planning Policy Framework to mandate resilience metrics in all major infrastructure projects, directly supporting London's Climate Action Plan 2023–2041.</w:t>
      </w:r>
    </w:p>
    <w:p>
      <w:pPr>
        <w:pStyle w:val="FirstParagraph"/>
      </w:pPr>
      <w:r>
        <w:t xml:space="preserve">The significance extends beyond London: solutions proven in this dense urban ecosystem will provide a blueprint for other global cities facing similar pressures (e.g., New York, Tokyo), reinforcing the United Kingdom's leadership in sustainable civil engineering.</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Duration</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stakeholder mapping; data access agreements with London authorities.</w:t>
            </w:r>
          </w:p>
        </w:tc>
      </w:tr>
      <w:tr>
        <w:tc>
          <w:tcPr/>
          <w:p>
            <w:pPr>
              <w:pStyle w:val="Compact"/>
              <w:jc w:val="left"/>
            </w:pPr>
            <w:r>
              <w:t xml:space="preserve">Months 4–6</w:t>
            </w:r>
          </w:p>
        </w:tc>
        <w:tc>
          <w:tcPr/>
          <w:p>
            <w:pPr>
              <w:pStyle w:val="Compact"/>
              <w:jc w:val="left"/>
            </w:pPr>
            <w:r>
              <w:t xml:space="preserve">Geospatial data analysis; material testing design; digital twin architecture development.</w:t>
            </w:r>
          </w:p>
        </w:tc>
      </w:tr>
      <w:tr>
        <w:tc>
          <w:tcPr/>
          <w:p>
            <w:pPr>
              <w:pStyle w:val="Compact"/>
              <w:jc w:val="left"/>
            </w:pPr>
            <w:r>
              <w:t xml:space="preserve">Months 7–10</w:t>
            </w:r>
          </w:p>
        </w:tc>
        <w:tc>
          <w:tcPr/>
          <w:p>
            <w:pPr>
              <w:pStyle w:val="Compact"/>
              <w:jc w:val="left"/>
            </w:pPr>
            <w:r>
              <w:t xml:space="preserve">Laboratory trials; digital simulation runs; initial stakeholder workshops.</w:t>
            </w:r>
          </w:p>
        </w:tc>
      </w:tr>
      <w:tr>
        <w:tc>
          <w:tcPr/>
          <w:p>
            <w:pPr>
              <w:pStyle w:val="Compact"/>
              <w:jc w:val="left"/>
            </w:pPr>
            <w:r>
              <w:t xml:space="preserve">Months 11–15</w:t>
            </w:r>
          </w:p>
        </w:tc>
        <w:tc>
          <w:tcPr/>
          <w:p>
            <w:pPr>
              <w:pStyle w:val="Compact"/>
              <w:jc w:val="left"/>
            </w:pPr>
            <w:r>
              <w:t xml:space="preserve">Framework refinement; policy brief drafting; case study validation.</w:t>
            </w:r>
          </w:p>
        </w:tc>
      </w:tr>
      <w:tr>
        <w:tc>
          <w:tcPr/>
          <w:p>
            <w:pPr>
              <w:pStyle w:val="Compact"/>
              <w:jc w:val="left"/>
            </w:pPr>
            <w:r>
              <w:t xml:space="preserve">Months 16–20</w:t>
            </w:r>
          </w:p>
        </w:tc>
        <w:tc>
          <w:tcPr/>
          <w:p>
            <w:pPr>
              <w:pStyle w:val="Compact"/>
              <w:jc w:val="left"/>
            </w:pPr>
            <w:r>
              <w:t xml:space="preserve">Dissertation writing; final stakeholder review; submission preparation.</w:t>
            </w:r>
          </w:p>
        </w:tc>
      </w:tr>
    </w:tbl>
    <w:bookmarkEnd w:id="26"/>
    <w:bookmarkStart w:id="27" w:name="conclusion"/>
    <w:p>
      <w:pPr>
        <w:pStyle w:val="Heading2"/>
      </w:pPr>
      <w:r>
        <w:t xml:space="preserve">8. Conclusion</w:t>
      </w:r>
    </w:p>
    <w:p>
      <w:pPr>
        <w:pStyle w:val="FirstParagraph"/>
      </w:pPr>
      <w:r>
        <w:t xml:space="preserve">The role of the Civil Engineer in United Kingdom London demands more than technical proficiency—it requires visionary leadership in climate adaptation and sustainable innovation. This Thesis Proposal establishes a critical roadmap for advancing infrastructure resilience through research directly addressing London's unique challenges. By embedding real-world data from the United Kingdom's capital city into every phase, this work will produce actionable knowledge that transforms how Civil Engineers approach urban development. The outcomes will not only secure London’s future but also position the United Kingdom as a global exemplar of civil engineering excellence in metropolitan sustainability.</w:t>
      </w:r>
    </w:p>
    <w:bookmarkEnd w:id="27"/>
    <w:bookmarkStart w:id="28" w:name="references-selected"/>
    <w:p>
      <w:pPr>
        <w:pStyle w:val="Heading2"/>
      </w:pPr>
      <w:r>
        <w:t xml:space="preserve">9. References (Selected)</w:t>
      </w:r>
    </w:p>
    <w:p>
      <w:pPr>
        <w:numPr>
          <w:ilvl w:val="0"/>
          <w:numId w:val="1004"/>
        </w:numPr>
        <w:pStyle w:val="Compact"/>
      </w:pPr>
      <w:r>
        <w:t xml:space="preserve">Bridges, R., et al. (2020). *Urban Resilience in UK Cities*. Royal Institute of Chartered Surveyors.</w:t>
      </w:r>
    </w:p>
    <w:p>
      <w:pPr>
        <w:numPr>
          <w:ilvl w:val="0"/>
          <w:numId w:val="1004"/>
        </w:numPr>
        <w:pStyle w:val="Compact"/>
      </w:pPr>
      <w:r>
        <w:t xml:space="preserve">London Assembly. (2023). *London’s Population and Infrastructure Report*.</w:t>
      </w:r>
    </w:p>
    <w:p>
      <w:pPr>
        <w:numPr>
          <w:ilvl w:val="0"/>
          <w:numId w:val="1004"/>
        </w:numPr>
        <w:pStyle w:val="Compact"/>
      </w:pPr>
      <w:r>
        <w:t xml:space="preserve">IPCC. (2021). *Climate Change 2021: Impacts, Adaptation and Vulnerability*. Cambridge University Press.</w:t>
      </w:r>
    </w:p>
    <w:p>
      <w:pPr>
        <w:numPr>
          <w:ilvl w:val="0"/>
          <w:numId w:val="1004"/>
        </w:numPr>
        <w:pStyle w:val="Compact"/>
      </w:pPr>
      <w:r>
        <w:t xml:space="preserve">Met Office. (2023). *UK Climate Projections 4th Edition*. Hadley Centre.</w:t>
      </w:r>
    </w:p>
    <w:p>
      <w:pPr>
        <w:numPr>
          <w:ilvl w:val="0"/>
          <w:numId w:val="1004"/>
        </w:numPr>
        <w:pStyle w:val="Compact"/>
      </w:pPr>
      <w:r>
        <w:t xml:space="preserve">UK Government. (2023). *Infrastructure Resilience Strategy*. Department for Transport.</w:t>
      </w:r>
    </w:p>
    <w:p>
      <w:pPr>
        <w:pStyle w:val="FirstParagraph"/>
      </w:pPr>
      <w:r>
        <w:rPr>
          <w:bCs/>
          <w:b/>
        </w:rPr>
        <w:t xml:space="preserve">Note to Academic Committee:</w:t>
      </w:r>
      <w:r>
        <w:t xml:space="preserve"> </w:t>
      </w:r>
      <w:r>
        <w:t xml:space="preserve">This Thesis Proposal has been developed specifically for application within the United Kingdom London context, ensuring relevance to the city’s infrastructure challenges and regulatory environment. All research activities will comply with UK Research Council standards and obtain necessary ethics approvals from University College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Resilience in United Kingdom London</dc:title>
  <dc:creator/>
  <dc:language>en</dc:language>
  <cp:keywords/>
  <dcterms:created xsi:type="dcterms:W3CDTF">2026-07-24T05:57:44Z</dcterms:created>
  <dcterms:modified xsi:type="dcterms:W3CDTF">2026-07-24T05:57:44Z</dcterms:modified>
</cp:coreProperties>
</file>

<file path=docProps/custom.xml><?xml version="1.0" encoding="utf-8"?>
<Properties xmlns="http://schemas.openxmlformats.org/officeDocument/2006/custom-properties" xmlns:vt="http://schemas.openxmlformats.org/officeDocument/2006/docPropsVTypes"/>
</file>