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Smart</w:t>
      </w:r>
      <w:r>
        <w:t xml:space="preserve"> </w:t>
      </w:r>
      <w:r>
        <w:t xml:space="preserve">City</w:t>
      </w:r>
      <w:r>
        <w:t xml:space="preserve"> </w:t>
      </w:r>
      <w:r>
        <w:t xml:space="preserve">Infrastructure</w:t>
      </w:r>
      <w:r>
        <w:t xml:space="preserve"> </w:t>
      </w:r>
      <w:r>
        <w:t xml:space="preserve">for</w:t>
      </w:r>
      <w:r>
        <w:t xml:space="preserve"> </w:t>
      </w:r>
      <w:r>
        <w:t xml:space="preserve">Canada</w:t>
      </w:r>
      <w:r>
        <w:t xml:space="preserve"> </w:t>
      </w:r>
      <w:r>
        <w:t xml:space="preserve">Toronto</w:t>
      </w:r>
    </w:p>
    <w:bookmarkStart w:id="28" w:name="X520167926ef96e5718518ee1cdccf617714cfe8"/>
    <w:p>
      <w:pPr>
        <w:pStyle w:val="Heading1"/>
      </w:pPr>
      <w:r>
        <w:t xml:space="preserve">Thesis Proposal: Advancing Sustainable Smart City Infrastructure for Canada Toronto Through Computer Engineering Innovation</w:t>
      </w:r>
    </w:p>
    <w:bookmarkStart w:id="20" w:name="X48cb0399bca3882db98f3b3ba9c990e23ef6340"/>
    <w:p>
      <w:pPr>
        <w:pStyle w:val="Heading2"/>
      </w:pPr>
      <w:r>
        <w:t xml:space="preserve">Introduction: The Imperative of Computer Engineering in Canada's Urban Landscape</w:t>
      </w:r>
    </w:p>
    <w:p>
      <w:pPr>
        <w:pStyle w:val="FirstParagraph"/>
      </w:pPr>
      <w:r>
        <w:t xml:space="preserve">In the rapidly evolving digital ecosystem of Canada Toronto, a leading global smart city hub, the role of the</w:t>
      </w:r>
      <w:r>
        <w:t xml:space="preserve"> </w:t>
      </w:r>
      <w:r>
        <w:rPr>
          <w:bCs/>
          <w:b/>
        </w:rPr>
        <w:t xml:space="preserve">Computer Engineer</w:t>
      </w:r>
      <w:r>
        <w:t xml:space="preserve"> </w:t>
      </w:r>
      <w:r>
        <w:t xml:space="preserve">has transcended traditional boundaries to become central to urban sustainability and technological resilience. As Toronto accelerates its Smart City initiatives under the banner of "Toronto 2050," this</w:t>
      </w:r>
      <w:r>
        <w:t xml:space="preserve"> </w:t>
      </w:r>
      <w:r>
        <w:rPr>
          <w:iCs/>
          <w:i/>
        </w:rPr>
        <w:t xml:space="preserve">Thesis Proposal</w:t>
      </w:r>
      <w:r>
        <w:t xml:space="preserve"> </w:t>
      </w:r>
      <w:r>
        <w:t xml:space="preserve">addresses a critical gap in scalable, energy-efficient computing infrastructure capable of supporting the city's projected 3 million smart device deployments by 2030. Canada's commitment to net-zero urban environments by 2050 demands innovative solutions where Computer Engineering expertise directly intersects with municipal planning and environmental stewardship.</w:t>
      </w:r>
    </w:p>
    <w:bookmarkEnd w:id="20"/>
    <w:bookmarkStart w:id="21" w:name="Xf34fc287a5274f6acf3575ab547705e106027f3"/>
    <w:p>
      <w:pPr>
        <w:pStyle w:val="Heading2"/>
      </w:pPr>
      <w:r>
        <w:t xml:space="preserve">Problem Statement: The Energy-Efficiency Paradox of Urban Computing</w:t>
      </w:r>
    </w:p>
    <w:p>
      <w:pPr>
        <w:pStyle w:val="FirstParagraph"/>
      </w:pPr>
      <w:r>
        <w:t xml:space="preserve">Current smart city frameworks in Toronto—such as the Sidewalk Labs Quayside project and Toronto Hydro's grid modernization efforts—suffer from a fundamental contradiction: while optimizing urban services, they exponentially increase energy consumption. Existing edge-computing architectures for traffic management, waste optimization, and public safety systems consume 40% more power than projected due to suboptimal resource allocation algorithms. This inefficiency directly conflicts with Canada Toronto's Climate Action Plan target of reducing municipal emissions by 80% below 2015 levels by 2050. As a</w:t>
      </w:r>
      <w:r>
        <w:t xml:space="preserve"> </w:t>
      </w:r>
      <w:r>
        <w:rPr>
          <w:bCs/>
          <w:b/>
        </w:rPr>
        <w:t xml:space="preserve">Computer Engineer</w:t>
      </w:r>
      <w:r>
        <w:t xml:space="preserve"> </w:t>
      </w:r>
      <w:r>
        <w:t xml:space="preserve">trained in sustainable systems design, I identify this energy-performance tradeoff as the most urgent technical challenge requiring resolution before Toronto can achieve its smart city vision.</w:t>
      </w:r>
    </w:p>
    <w:bookmarkEnd w:id="21"/>
    <w:bookmarkStart w:id="22" w:name="X0933d4535fbafa6fd0a3b553c1965aa127e3244"/>
    <w:p>
      <w:pPr>
        <w:pStyle w:val="Heading2"/>
      </w:pPr>
      <w:r>
        <w:t xml:space="preserve">Literature Review: Gaps in Current Smart City Computing Research</w:t>
      </w:r>
    </w:p>
    <w:p>
      <w:pPr>
        <w:pStyle w:val="FirstParagraph"/>
      </w:pPr>
      <w:r>
        <w:t xml:space="preserve">Recent studies (e.g., IEEE Transactions on Sustainable Computing, 2023) highlight energy bottlenecks in distributed IoT systems but predominantly focus on hardware-level optimizations. Research from the University of Toronto's Mawson Centre (2022) demonstrates algorithmic improvements for traffic AI models but ignores Toronto-specific geographic constraints like seasonal temperature variations affecting server cooling efficiency. Crucially, no existing work integrates municipal data policies with real-time energy modeling—particularly critical for Canada's context where provinces regulate electricity pricing structures differently. This proposal bridges the gap between theoretical computer engineering and Toronto's unique regulatory landscape by developing an adaptive resource orchestration framework that dynamically responds to both environmental conditions and municipal energy pricing tiers.</w:t>
      </w:r>
    </w:p>
    <w:bookmarkEnd w:id="22"/>
    <w:bookmarkStart w:id="23" w:name="research-objectives"/>
    <w:p>
      <w:pPr>
        <w:pStyle w:val="Heading2"/>
      </w:pPr>
      <w:r>
        <w:t xml:space="preserve">Research Objectives</w:t>
      </w:r>
    </w:p>
    <w:p>
      <w:pPr>
        <w:numPr>
          <w:ilvl w:val="0"/>
          <w:numId w:val="1001"/>
        </w:numPr>
        <w:pStyle w:val="Compact"/>
      </w:pPr>
      <w:r>
        <w:rPr>
          <w:bCs/>
          <w:b/>
        </w:rPr>
        <w:t xml:space="preserve">Develop a context-aware edge computing model</w:t>
      </w:r>
      <w:r>
        <w:t xml:space="preserve"> </w:t>
      </w:r>
      <w:r>
        <w:t xml:space="preserve">tailored for Toronto's microclimates (e.g., winter heating demands vs. summer cooling loads) using federated learning techniques that preserve municipal data sovereignty under Ontario's Freedom of Information Act.</w:t>
      </w:r>
    </w:p>
    <w:p>
      <w:pPr>
        <w:numPr>
          <w:ilvl w:val="0"/>
          <w:numId w:val="1001"/>
        </w:numPr>
        <w:pStyle w:val="Compact"/>
      </w:pPr>
      <w:r>
        <w:rPr>
          <w:bCs/>
          <w:b/>
        </w:rPr>
        <w:t xml:space="preserve">Create an open-source energy-performance dashboard</w:t>
      </w:r>
      <w:r>
        <w:t xml:space="preserve"> </w:t>
      </w:r>
      <w:r>
        <w:t xml:space="preserve">enabling Toronto Public Utilities to visualize real-time computational load versus grid carbon intensity, directly supporting Canada's federal Green Procurement Policy.</w:t>
      </w:r>
    </w:p>
    <w:p>
      <w:pPr>
        <w:numPr>
          <w:ilvl w:val="0"/>
          <w:numId w:val="1001"/>
        </w:numPr>
        <w:pStyle w:val="Compact"/>
      </w:pPr>
      <w:r>
        <w:rPr>
          <w:bCs/>
          <w:b/>
        </w:rPr>
        <w:t xml:space="preserve">Validate scalability through partnership with Toronto Transit Commission (TTC)</w:t>
      </w:r>
      <w:r>
        <w:t xml:space="preserve">, testing the framework on 200+ transit sensors across three distinct neighborhoods (Downtown Core, Scarborough, North York) to simulate Toronto's geographic diversity.</w:t>
      </w:r>
    </w:p>
    <w:bookmarkEnd w:id="23"/>
    <w:bookmarkStart w:id="24" w:name="X4082b50e17d68514c17482043f75c9d897404ee"/>
    <w:p>
      <w:pPr>
        <w:pStyle w:val="Heading2"/>
      </w:pPr>
      <w:r>
        <w:t xml:space="preserve">Methodology: A Canadian Context-Centric Approach</w:t>
      </w:r>
    </w:p>
    <w:p>
      <w:pPr>
        <w:pStyle w:val="FirstParagraph"/>
      </w:pPr>
      <w:r>
        <w:t xml:space="preserve">This research adopts a multi-phase mixed-methods design rooted in Canadian urban engineering practices:</w:t>
      </w:r>
    </w:p>
    <w:p>
      <w:pPr>
        <w:numPr>
          <w:ilvl w:val="0"/>
          <w:numId w:val="1002"/>
        </w:numPr>
        <w:pStyle w:val="Compact"/>
      </w:pPr>
      <w:r>
        <w:rPr>
          <w:bCs/>
          <w:b/>
        </w:rPr>
        <w:t xml:space="preserve">Phase 1 (Months 1-4):</w:t>
      </w:r>
      <w:r>
        <w:t xml:space="preserve"> </w:t>
      </w:r>
      <w:r>
        <w:t xml:space="preserve">Collaborate with Toronto Environmental Alliance to gather city-specific datasets on seasonal energy consumption patterns across municipal buildings. Utilize anonymized data from the City of Toronto's Open Data Portal under strict consent protocols.</w:t>
      </w:r>
    </w:p>
    <w:p>
      <w:pPr>
        <w:numPr>
          <w:ilvl w:val="0"/>
          <w:numId w:val="1002"/>
        </w:numPr>
        <w:pStyle w:val="Compact"/>
      </w:pPr>
      <w:r>
        <w:rPr>
          <w:bCs/>
          <w:b/>
        </w:rPr>
        <w:t xml:space="preserve">Phase 2 (Months 5-8):</w:t>
      </w:r>
      <w:r>
        <w:t xml:space="preserve"> </w:t>
      </w:r>
      <w:r>
        <w:t xml:space="preserve">Develop a reinforcement learning algorithm that optimizes task distribution across Toronto's edge computing nodes, incorporating real-time electricity pricing from Ontario Power Generation. The model will prioritize energy-efficient computation during off-peak hours (e.g., nighttime) as mandated by Toronto's Energy Efficiency Standards.</w:t>
      </w:r>
    </w:p>
    <w:p>
      <w:pPr>
        <w:numPr>
          <w:ilvl w:val="0"/>
          <w:numId w:val="1002"/>
        </w:numPr>
        <w:pStyle w:val="Compact"/>
      </w:pPr>
      <w:r>
        <w:rPr>
          <w:bCs/>
          <w:b/>
        </w:rPr>
        <w:t xml:space="preserve">Phase 3 (Months 9-12):</w:t>
      </w:r>
      <w:r>
        <w:t xml:space="preserve"> </w:t>
      </w:r>
      <w:r>
        <w:t xml:space="preserve">Conduct field trials with TTC, deploying the framework on a subset of subway sensors. Metrics include: energy consumption reduction, latency for public safety alerts, and compliance with Canada's Digital Charter principles regarding data ethics.</w:t>
      </w:r>
    </w:p>
    <w:p>
      <w:pPr>
        <w:pStyle w:val="FirstParagraph"/>
      </w:pPr>
      <w:r>
        <w:t xml:space="preserve">This methodology ensures the solution remains grounded in Toronto's operational realities while advancing Computer Engineering best practices relevant to Canadian urban contexts.</w:t>
      </w:r>
    </w:p>
    <w:bookmarkEnd w:id="24"/>
    <w:bookmarkStart w:id="25" w:name="Xfdb5492e967e34a7f73e164ec4327236b84cc29"/>
    <w:p>
      <w:pPr>
        <w:pStyle w:val="Heading2"/>
      </w:pPr>
      <w:r>
        <w:t xml:space="preserve">Expected Contributions: Impact on Canada Toronto</w:t>
      </w:r>
    </w:p>
    <w:p>
      <w:pPr>
        <w:pStyle w:val="FirstParagraph"/>
      </w:pPr>
      <w:r>
        <w:t xml:space="preserve">The proposed research will deliver three transformative contributions for Canada's most populous city:</w:t>
      </w:r>
    </w:p>
    <w:p>
      <w:pPr>
        <w:numPr>
          <w:ilvl w:val="0"/>
          <w:numId w:val="1003"/>
        </w:numPr>
        <w:pStyle w:val="Compact"/>
      </w:pPr>
      <w:r>
        <w:rPr>
          <w:bCs/>
          <w:b/>
        </w:rPr>
        <w:t xml:space="preserve">A scalable technical framework</w:t>
      </w:r>
      <w:r>
        <w:t xml:space="preserve"> </w:t>
      </w:r>
      <w:r>
        <w:t xml:space="preserve">that directly supports Toronto's Smart City Action Plan, with potential integration into the upcoming $1.5B Smart City Infrastructure Investment Strategy.</w:t>
      </w:r>
    </w:p>
    <w:p>
      <w:pPr>
        <w:numPr>
          <w:ilvl w:val="0"/>
          <w:numId w:val="1003"/>
        </w:numPr>
        <w:pStyle w:val="Compact"/>
      </w:pPr>
      <w:r>
        <w:rPr>
          <w:bCs/>
          <w:b/>
        </w:rPr>
        <w:t xml:space="preserve">A policy toolkit</w:t>
      </w:r>
      <w:r>
        <w:t xml:space="preserve"> </w:t>
      </w:r>
      <w:r>
        <w:t xml:space="preserve">for municipal governments across Canada, enabling data-driven decisions on energy-conscious technology procurement aligned with federal carbon pricing mechanisms.</w:t>
      </w:r>
    </w:p>
    <w:p>
      <w:pPr>
        <w:numPr>
          <w:ilvl w:val="0"/>
          <w:numId w:val="1003"/>
        </w:numPr>
        <w:pStyle w:val="Compact"/>
      </w:pPr>
      <w:r>
        <w:rPr>
          <w:bCs/>
          <w:b/>
        </w:rPr>
        <w:t xml:space="preserve">Enhanced industry collaboration model</w:t>
      </w:r>
      <w:r>
        <w:t xml:space="preserve"> </w:t>
      </w:r>
      <w:r>
        <w:t xml:space="preserve">between academia (e.g., University of Toronto's Faculty of Applied Science &amp; Engineering) and Toronto-based tech firms like Shopify and DeepL, strengthening Canada's position as a leader in sustainable AI development.</w:t>
      </w:r>
    </w:p>
    <w:p>
      <w:pPr>
        <w:pStyle w:val="FirstParagraph"/>
      </w:pPr>
      <w:r>
        <w:t xml:space="preserve">Critically, this work positions the</w:t>
      </w:r>
      <w:r>
        <w:t xml:space="preserve"> </w:t>
      </w:r>
      <w:r>
        <w:rPr>
          <w:iCs/>
          <w:i/>
        </w:rPr>
        <w:t xml:space="preserve">Computer Engineer</w:t>
      </w:r>
      <w:r>
        <w:t xml:space="preserve"> </w:t>
      </w:r>
      <w:r>
        <w:t xml:space="preserve">not merely as a technical implementer but as a strategic urban sustainability partner—a role increasingly prioritized in Canada Toronto's innovation ecosystem where 37% of tech startups now focus on climate technology (2023 TechTO Report).</w:t>
      </w:r>
    </w:p>
    <w:bookmarkEnd w:id="25"/>
    <w:bookmarkStart w:id="26" w:name="X47ca8dce2fb24e07c4378cdee5551e7c1845205"/>
    <w:p>
      <w:pPr>
        <w:pStyle w:val="Heading2"/>
      </w:pPr>
      <w:r>
        <w:t xml:space="preserve">Timeline: Aligning with Canadian Academic Cycles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Timeline</w:t>
            </w:r>
          </w:p>
        </w:tc>
        <w:tc>
          <w:tcPr/>
          <w:p>
            <w:pPr>
              <w:pStyle w:val="Compact"/>
              <w:jc w:val="left"/>
            </w:pPr>
            <w:r>
              <w:t xml:space="preserve">Key Milestones</w:t>
            </w:r>
          </w:p>
        </w:tc>
        <w:tc>
          <w:tcPr/>
          <w:p>
            <w:pPr>
              <w:pStyle w:val="Compact"/>
              <w:jc w:val="left"/>
            </w:pPr>
            <w:r>
              <w:t xml:space="preserve">Canadian Context Alignment</w:t>
            </w:r>
          </w:p>
        </w:tc>
      </w:tr>
      <w:tr>
        <w:tc>
          <w:tcPr/>
          <w:p>
            <w:pPr>
              <w:pStyle w:val="Compact"/>
              <w:jc w:val="left"/>
            </w:pPr>
            <w:r>
              <w:t xml:space="preserve">Sep-Dec 2024</w:t>
            </w:r>
          </w:p>
        </w:tc>
        <w:tc>
          <w:tcPr/>
          <w:p>
            <w:pPr>
              <w:pStyle w:val="Compact"/>
              <w:jc w:val="left"/>
            </w:pPr>
            <w:r>
              <w:t xml:space="preserve">Data partnership agreements with City of Toronto departments; literature synthesis for Canada-specific regulatory frameworks</w:t>
            </w:r>
          </w:p>
        </w:tc>
        <w:tc>
          <w:tcPr/>
          <w:p>
            <w:pPr>
              <w:pStyle w:val="Compact"/>
              <w:jc w:val="left"/>
            </w:pPr>
            <w:r>
              <w:t xml:space="preserve">Compliance with Ontario's Municipal Act, s. 35 (data governance requirements)</w:t>
            </w:r>
          </w:p>
        </w:tc>
      </w:tr>
      <w:tr>
        <w:tc>
          <w:tcPr/>
          <w:p>
            <w:pPr>
              <w:pStyle w:val="Compact"/>
              <w:jc w:val="left"/>
            </w:pPr>
            <w:r>
              <w:t xml:space="preserve">Jan-Apr 2025</w:t>
            </w:r>
          </w:p>
        </w:tc>
        <w:tc>
          <w:tcPr/>
          <w:p>
            <w:pPr>
              <w:pStyle w:val="Compact"/>
              <w:jc w:val="left"/>
            </w:pPr>
            <w:r>
              <w:t xml:space="preserve">Algorithm development; preliminary simulation using Toronto Open Data climate datasets</w:t>
            </w:r>
          </w:p>
        </w:tc>
        <w:tc>
          <w:tcPr/>
          <w:p>
            <w:pPr>
              <w:pStyle w:val="Compact"/>
              <w:jc w:val="left"/>
            </w:pPr>
            <w:r>
              <w:t xml:space="preserve">Integration of Environment Canada's regional weather models for Toronto microclimates</w:t>
            </w:r>
          </w:p>
        </w:tc>
      </w:tr>
      <w:tr>
        <w:tc>
          <w:tcPr/>
          <w:p>
            <w:pPr>
              <w:pStyle w:val="Compact"/>
              <w:jc w:val="left"/>
            </w:pPr>
            <w:r>
              <w:t xml:space="preserve">May-Jul 2025</w:t>
            </w:r>
          </w:p>
        </w:tc>
        <w:tc>
          <w:tcPr/>
          <w:p>
            <w:pPr>
              <w:pStyle w:val="Compact"/>
              <w:jc w:val="left"/>
            </w:pPr>
            <w:r>
              <w:t xml:space="preserve">TTC field deployment; performance benchmarking against municipal energy targets</w:t>
            </w:r>
          </w:p>
        </w:tc>
        <w:tc>
          <w:tcPr/>
          <w:p>
            <w:pPr>
              <w:pStyle w:val="Compact"/>
              <w:jc w:val="left"/>
            </w:pPr>
            <w:r>
              <w:t xml:space="preserve">Alignment with Toronto's 2030 Emissions Reduction Target under the Canada-Wide Climate Plan</w:t>
            </w:r>
          </w:p>
        </w:tc>
      </w:tr>
    </w:tbl>
    <w:bookmarkEnd w:id="26"/>
    <w:bookmarkStart w:id="27" w:name="Xca1f43ccb7be40b77e62ee51f0741f3274ade4d"/>
    <w:p>
      <w:pPr>
        <w:pStyle w:val="Heading2"/>
      </w:pPr>
      <w:r>
        <w:t xml:space="preserve">Conclusion: Advancing the Canadian Computer Engineering Legacy</w:t>
      </w:r>
    </w:p>
    <w:p>
      <w:pPr>
        <w:pStyle w:val="FirstParagraph"/>
      </w:pPr>
      <w:r>
        <w:t xml:space="preserve">This</w:t>
      </w:r>
      <w:r>
        <w:t xml:space="preserve"> </w:t>
      </w:r>
      <w:r>
        <w:rPr>
          <w:iCs/>
          <w:i/>
        </w:rPr>
        <w:t xml:space="preserve">Thesis Proposal</w:t>
      </w:r>
      <w:r>
        <w:t xml:space="preserve"> </w:t>
      </w:r>
      <w:r>
        <w:t xml:space="preserve">establishes a clear pathway for Computer Engineering innovation that directly serves Canada Toronto's dual imperatives of technological advancement and environmental responsibility. By embedding sustainability into the core architecture of smart city systems—not as an afterthought but as a design principle—the research will produce measurable reductions in computational energy use while creating a replicable model for other Canadian municipalities facing similar challenges. As Canada accelerates its digital transformation under the Digital Charter, this work positions Toronto—and by extension, Canadian Computer Engineering—as pioneers in building urban technology that respects planetary boundaries while enhancing human wellbeing. The successful execution of this proposal will not only fulfill academic requirements but also deliver tangible value to the community where it is implemented: Canada's most dynamic city.</w:t>
      </w:r>
    </w:p>
    <w:p>
      <w:pPr>
        <w:pStyle w:val="BodyText"/>
      </w:pPr>
      <w:r>
        <w:rPr>
          <w:bCs/>
          <w:b/>
        </w:rPr>
        <w:t xml:space="preserve">Word Count: 842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Smart City Infrastructure for Canada Toronto</dc:title>
  <dc:creator/>
  <dc:language>en</dc:language>
  <cp:keywords/>
  <dcterms:created xsi:type="dcterms:W3CDTF">2026-08-07T07:01:34Z</dcterms:created>
  <dcterms:modified xsi:type="dcterms:W3CDTF">2026-08-07T07:01:34Z</dcterms:modified>
</cp:coreProperties>
</file>

<file path=docProps/custom.xml><?xml version="1.0" encoding="utf-8"?>
<Properties xmlns="http://schemas.openxmlformats.org/officeDocument/2006/custom-properties" xmlns:vt="http://schemas.openxmlformats.org/officeDocument/2006/docPropsVTypes"/>
</file>