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Excellence</w:t>
      </w:r>
      <w:r>
        <w:t xml:space="preserve"> </w:t>
      </w:r>
      <w:r>
        <w:t xml:space="preserve">in</w:t>
      </w:r>
      <w:r>
        <w:t xml:space="preserve"> </w:t>
      </w:r>
      <w:r>
        <w:t xml:space="preserve">Germany</w:t>
      </w:r>
      <w:r>
        <w:t xml:space="preserve"> </w:t>
      </w:r>
      <w:r>
        <w:t xml:space="preserve">Frankfurt</w:t>
      </w:r>
    </w:p>
    <w:bookmarkStart w:id="29" w:name="X8a05a9a30f60ef6542ada19069402f635849582"/>
    <w:p>
      <w:pPr>
        <w:pStyle w:val="Heading1"/>
      </w:pPr>
      <w:r>
        <w:t xml:space="preserve">Thesis Proposal: Advancing Educational Innovation Through Curriculum Development in Germany Frankfurt</w:t>
      </w:r>
    </w:p>
    <w:bookmarkStart w:id="20" w:name="introduction-and-contextual-background"/>
    <w:p>
      <w:pPr>
        <w:pStyle w:val="Heading2"/>
      </w:pPr>
      <w:r>
        <w:t xml:space="preserve">1. Introduction and Contextual Background</w:t>
      </w:r>
    </w:p>
    <w:p>
      <w:pPr>
        <w:pStyle w:val="FirstParagraph"/>
      </w:pPr>
      <w:r>
        <w:t xml:space="preserve">The landscape of education in</w:t>
      </w:r>
      <w:r>
        <w:t xml:space="preserve"> </w:t>
      </w:r>
      <w:r>
        <w:rPr>
          <w:bCs/>
          <w:b/>
        </w:rPr>
        <w:t xml:space="preserve">Germany Frankfurt</w:t>
      </w:r>
      <w:r>
        <w:t xml:space="preserve"> </w:t>
      </w:r>
      <w:r>
        <w:t xml:space="preserve">stands at a pivotal juncture, demanding sophisticated approaches to curriculum design that align with global educational standards while respecting local cultural and pedagogical traditions. As a leading international hub in Europe, Frankfurt’s diverse student population—including German nationals, expatriate communities, and immigrant backgrounds—requires curricula that foster inclusive, future-ready competencies. This</w:t>
      </w:r>
      <w:r>
        <w:t xml:space="preserve"> </w:t>
      </w:r>
      <w:r>
        <w:rPr>
          <w:bCs/>
          <w:b/>
        </w:rPr>
        <w:t xml:space="preserve">Thesis Proposal</w:t>
      </w:r>
      <w:r>
        <w:t xml:space="preserve"> </w:t>
      </w:r>
      <w:r>
        <w:t xml:space="preserve">addresses the critical need for specialized</w:t>
      </w:r>
      <w:r>
        <w:t xml:space="preserve"> </w:t>
      </w:r>
      <w:r>
        <w:rPr>
          <w:bCs/>
          <w:b/>
        </w:rPr>
        <w:t xml:space="preserve">Curriculum Developer</w:t>
      </w:r>
      <w:r>
        <w:t xml:space="preserve">s who can navigate Germany’s decentralized education system (with its 16 federal states governing curricular content) while delivering contextually relevant learning frameworks. Frankfurt, as a UNESCO Global Learning City and home to institutions like Goethe University and the European Central Bank, offers an ideal ecosystem for researching how evidence-based curriculum development can enhance educational equity and innovation across K-12 settings.</w:t>
      </w:r>
    </w:p>
    <w:bookmarkEnd w:id="20"/>
    <w:bookmarkStart w:id="21" w:name="problem-statement"/>
    <w:p>
      <w:pPr>
        <w:pStyle w:val="Heading2"/>
      </w:pPr>
      <w:r>
        <w:t xml:space="preserve">2. Problem Statement</w:t>
      </w:r>
    </w:p>
    <w:p>
      <w:pPr>
        <w:pStyle w:val="FirstParagraph"/>
      </w:pPr>
      <w:r>
        <w:t xml:space="preserve">Current challenges in Frankfurt’s education sector include fragmented curriculum implementation, insufficient teacher training in modern pedagogical frameworks, and a disconnect between academic learning and workforce demands. Despite Germany’s renowned vocational training system (</w:t>
      </w:r>
      <w:r>
        <w:rPr>
          <w:iCs/>
          <w:i/>
        </w:rPr>
        <w:t xml:space="preserve">Ausbildung</w:t>
      </w:r>
      <w:r>
        <w:t xml:space="preserve">), many schools struggle to integrate digital literacy, sustainability competencies, and intercultural communication into core curricula. This gap is exacerbated by the absence of dedicated</w:t>
      </w:r>
      <w:r>
        <w:t xml:space="preserve"> </w:t>
      </w:r>
      <w:r>
        <w:rPr>
          <w:bCs/>
          <w:b/>
        </w:rPr>
        <w:t xml:space="preserve">Curriculum Developer</w:t>
      </w:r>
      <w:r>
        <w:t xml:space="preserve"> </w:t>
      </w:r>
      <w:r>
        <w:t xml:space="preserve">roles in most Frankfurt institutions—typically handled by teachers with limited specialized training. Consequently, educational outcomes remain inconsistent across Frankfurt’s 300+ schools. This research directly tackles the imperative for systemic reform through the strategic deployment of curriculum specialists who can bridge policy, pedagogy, and practice within</w:t>
      </w:r>
      <w:r>
        <w:t xml:space="preserve"> </w:t>
      </w:r>
      <w:r>
        <w:rPr>
          <w:bCs/>
          <w:b/>
        </w:rPr>
        <w:t xml:space="preserve">Germany Frankfurt</w:t>
      </w:r>
      <w:r>
        <w:t xml:space="preserve">'s unique socio-educational context.</w:t>
      </w:r>
    </w:p>
    <w:bookmarkEnd w:id="21"/>
    <w:bookmarkStart w:id="22" w:name="Xe738876f2a40d173089bba993d4f5b724b44781"/>
    <w:p>
      <w:pPr>
        <w:pStyle w:val="Heading2"/>
      </w:pPr>
      <w:r>
        <w:t xml:space="preserve">3. Literature Review: Gaps in Existing Research</w:t>
      </w:r>
    </w:p>
    <w:p>
      <w:pPr>
        <w:pStyle w:val="FirstParagraph"/>
      </w:pPr>
      <w:r>
        <w:t xml:space="preserve">Existing scholarship on curriculum development in Germany predominantly focuses on national frameworks (e.g., the Bildungsstandards) without sufficient attention to urban, multicultural settings like Frankfurt. While studies by scholars such as Jürgen Oelkers (2018) examine federal policy harmonization, they overlook how local implementation varies across cities with high immigration rates. Similarly, international models from Finland or Singapore rarely account for Germany’s Länder-specific autonomy. Crucially, no research explores the</w:t>
      </w:r>
      <w:r>
        <w:t xml:space="preserve"> </w:t>
      </w:r>
      <w:r>
        <w:rPr>
          <w:bCs/>
          <w:b/>
        </w:rPr>
        <w:t xml:space="preserve">Curriculum Developer</w:t>
      </w:r>
      <w:r>
        <w:t xml:space="preserve"> </w:t>
      </w:r>
      <w:r>
        <w:t xml:space="preserve">as a distinct professional role within Frankfurt’s municipal education authority (</w:t>
      </w:r>
      <w:r>
        <w:rPr>
          <w:iCs/>
          <w:i/>
        </w:rPr>
        <w:t xml:space="preserve">Stadtschulamt Frankfurt</w:t>
      </w:r>
      <w:r>
        <w:t xml:space="preserve">). This thesis fills that void by investigating how targeted curriculum design can address Frankfurt-specific challenges: integrating migrant students’ linguistic diversity into STEM curricula, aligning with EU Digital Education Action Plan goals, and supporting the city’s "Frankfurt 2030" economic strategy requiring future-focused skill development.</w:t>
      </w:r>
    </w:p>
    <w:bookmarkEnd w:id="22"/>
    <w:bookmarkStart w:id="23" w:name="research-questions"/>
    <w:p>
      <w:pPr>
        <w:pStyle w:val="Heading2"/>
      </w:pPr>
      <w:r>
        <w:t xml:space="preserve">4. Research Questions</w:t>
      </w:r>
    </w:p>
    <w:p>
      <w:pPr>
        <w:numPr>
          <w:ilvl w:val="0"/>
          <w:numId w:val="1001"/>
        </w:numPr>
        <w:pStyle w:val="Compact"/>
      </w:pPr>
      <w:r>
        <w:t xml:space="preserve">How do current curriculum design practices in Frankfurt schools fail to address the socio-educational diversity of its student population?</w:t>
      </w:r>
    </w:p>
    <w:p>
      <w:pPr>
        <w:numPr>
          <w:ilvl w:val="0"/>
          <w:numId w:val="1001"/>
        </w:numPr>
        <w:pStyle w:val="Compact"/>
      </w:pPr>
      <w:r>
        <w:t xml:space="preserve">What competencies must a specialized</w:t>
      </w:r>
      <w:r>
        <w:t xml:space="preserve"> </w:t>
      </w:r>
      <w:r>
        <w:rPr>
          <w:bCs/>
          <w:b/>
        </w:rPr>
        <w:t xml:space="preserve">Curriculum Developer</w:t>
      </w:r>
      <w:r>
        <w:t xml:space="preserve"> </w:t>
      </w:r>
      <w:r>
        <w:t xml:space="preserve">possess to effectively collaborate with Frankfurt’s educators, policymakers, and cultural institutions?</w:t>
      </w:r>
    </w:p>
    <w:p>
      <w:pPr>
        <w:numPr>
          <w:ilvl w:val="0"/>
          <w:numId w:val="1001"/>
        </w:numPr>
        <w:pStyle w:val="Compact"/>
      </w:pPr>
      <w:r>
        <w:t xml:space="preserve">To what extent can contextually responsive curriculum models developed in Germany Frankfurt improve student engagement and academic outcomes in underserved communities?</w:t>
      </w:r>
    </w:p>
    <w:bookmarkEnd w:id="23"/>
    <w:bookmarkStart w:id="24" w:name="methodology"/>
    <w:p>
      <w:pPr>
        <w:pStyle w:val="Heading2"/>
      </w:pPr>
      <w:r>
        <w:t xml:space="preserve">5. Methodology</w:t>
      </w:r>
    </w:p>
    <w:p>
      <w:pPr>
        <w:pStyle w:val="FirstParagraph"/>
      </w:pPr>
      <w:r>
        <w:t xml:space="preserve">This mixed-methods study will deploy a three-phase approach across 10 representative schools in Frankfurt’s diverse districts (including the multilingual neighborhoods of Sachsenhausen and Bornheim). Phase 1 involves document analysis of Frankfurt’s municipal curriculum guidelines and teacher training materials. Phase 2 employs semi-structured interviews with 30 stakeholders: school principals, teachers,</w:t>
      </w:r>
      <w:r>
        <w:t xml:space="preserve"> </w:t>
      </w:r>
      <w:r>
        <w:rPr>
          <w:bCs/>
          <w:b/>
        </w:rPr>
        <w:t xml:space="preserve">Curriculum Developer</w:t>
      </w:r>
      <w:r>
        <w:t xml:space="preserve"> </w:t>
      </w:r>
      <w:r>
        <w:t xml:space="preserve">consultants from regional networks (e.g.,</w:t>
      </w:r>
      <w:r>
        <w:t xml:space="preserve"> </w:t>
      </w:r>
      <w:r>
        <w:rPr>
          <w:iCs/>
          <w:i/>
        </w:rPr>
        <w:t xml:space="preserve">Lernort Frankfurt</w:t>
      </w:r>
      <w:r>
        <w:t xml:space="preserve">), and representatives from the Hessian Ministry of Education. Phase 3 implements a pilot curriculum co-designed by the researcher and local educators in two schools, measuring its impact through pre/post student surveys (n=200) on critical thinking, cultural empathy, and digital competence. Data will be analyzed using thematic analysis for qualitative insights and ANOVA for quantitative outcome comparisons.</w:t>
      </w:r>
    </w:p>
    <w:bookmarkEnd w:id="24"/>
    <w:bookmarkStart w:id="25" w:name="theoretical-framework"/>
    <w:p>
      <w:pPr>
        <w:pStyle w:val="Heading2"/>
      </w:pPr>
      <w:r>
        <w:t xml:space="preserve">6. Theoretical Framework</w:t>
      </w:r>
    </w:p>
    <w:p>
      <w:pPr>
        <w:pStyle w:val="FirstParagraph"/>
      </w:pPr>
      <w:r>
        <w:t xml:space="preserve">The research integrates two key theories: Apple’s (2015) "Curriculum as Power" to analyze how Frankfurt’s curricula reinforce or challenge social hierarchies, and the German concept of</w:t>
      </w:r>
      <w:r>
        <w:t xml:space="preserve"> </w:t>
      </w:r>
      <w:r>
        <w:rPr>
          <w:iCs/>
          <w:i/>
        </w:rPr>
        <w:t xml:space="preserve">Lehr-Lernkultur</w:t>
      </w:r>
      <w:r>
        <w:t xml:space="preserve"> </w:t>
      </w:r>
      <w:r>
        <w:t xml:space="preserve">("learning culture") from the Frankfurt School of Educational Research. This framework positions the</w:t>
      </w:r>
      <w:r>
        <w:t xml:space="preserve"> </w:t>
      </w:r>
      <w:r>
        <w:rPr>
          <w:bCs/>
          <w:b/>
        </w:rPr>
        <w:t xml:space="preserve">Curriculum Developer</w:t>
      </w:r>
      <w:r>
        <w:t xml:space="preserve"> </w:t>
      </w:r>
      <w:r>
        <w:t xml:space="preserve">not merely as a content designer but as a cultural mediator who transforms institutional power dynamics into inclusive learning environments. The study will contextualize this within Germany’s federal education model, emphasizing how Frankfurt—a city with 40% immigrant students—can pioneer scalable solutions for other German urban centers.</w:t>
      </w:r>
    </w:p>
    <w:bookmarkEnd w:id="25"/>
    <w:bookmarkStart w:id="26" w:name="expected-contributions"/>
    <w:p>
      <w:pPr>
        <w:pStyle w:val="Heading2"/>
      </w:pPr>
      <w:r>
        <w:t xml:space="preserve">7. Expected Contributions</w:t>
      </w:r>
    </w:p>
    <w:p>
      <w:pPr>
        <w:pStyle w:val="FirstParagraph"/>
      </w:pPr>
      <w:r>
        <w:t xml:space="preserve">This thesis will deliver three concrete contributions to the field of educational practice in</w:t>
      </w:r>
      <w:r>
        <w:t xml:space="preserve"> </w:t>
      </w:r>
      <w:r>
        <w:rPr>
          <w:bCs/>
          <w:b/>
        </w:rPr>
        <w:t xml:space="preserve">Germany Frankfurt</w:t>
      </w:r>
      <w:r>
        <w:t xml:space="preserve">. First, it will propose a standardized competency framework for the</w:t>
      </w:r>
      <w:r>
        <w:t xml:space="preserve"> </w:t>
      </w:r>
      <w:r>
        <w:rPr>
          <w:bCs/>
          <w:b/>
        </w:rPr>
        <w:t xml:space="preserve">Curriculum Developer</w:t>
      </w:r>
      <w:r>
        <w:t xml:space="preserve"> </w:t>
      </w:r>
      <w:r>
        <w:t xml:space="preserve">role within Frankfurt’s municipal system, addressing critical gaps in professional certification. Second, it will produce a replicable curriculum design model (e.g., "Frankfurt Inclusive STEM") that integrates language support with subject content—a solution urgently needed as Frankfurt faces a projected 25% rise in migrant students by 2030. Third, the research will generate policy briefs for the Hessian Ministry of Education to advocate for embedding</w:t>
      </w:r>
      <w:r>
        <w:t xml:space="preserve"> </w:t>
      </w:r>
      <w:r>
        <w:rPr>
          <w:bCs/>
          <w:b/>
        </w:rPr>
        <w:t xml:space="preserve">Curriculum Developer</w:t>
      </w:r>
      <w:r>
        <w:t xml:space="preserve"> </w:t>
      </w:r>
      <w:r>
        <w:t xml:space="preserve">positions in all Frankfurt schools by 2027. These outputs directly support Germany’s national education strategy (</w:t>
      </w:r>
      <w:r>
        <w:rPr>
          <w:iCs/>
          <w:i/>
        </w:rPr>
        <w:t xml:space="preserve">Nationaler Bildungsbericht</w:t>
      </w:r>
      <w:r>
        <w:t xml:space="preserve">) and Frankfurt’s own "Education City" vision.</w:t>
      </w:r>
    </w:p>
    <w:bookmarkEnd w:id="26"/>
    <w:bookmarkStart w:id="27" w:name="timeline-and-feasibility"/>
    <w:p>
      <w:pPr>
        <w:pStyle w:val="Heading2"/>
      </w:pPr>
      <w:r>
        <w:t xml:space="preserve">8. Timeline and Feasibility</w:t>
      </w:r>
    </w:p>
    <w:p>
      <w:pPr>
        <w:pStyle w:val="FirstParagraph"/>
      </w:pPr>
      <w:r>
        <w:t xml:space="preserve">Conducted at Goethe University Frankfurt in collaboration with the city’s Department of Education, this project leverages established partnerships including the Center for Educational Research (ZfL) and Frankfurt’s International School Network. The 15-month timeline includes: Months 1-3 (literature review/pilot interviews), Months 4-8 (fieldwork &amp; curriculum co-design), Months 9-12 (implementation &amp; data collection), and Months 13-15 (analysis/reporting). Resources are secured through a €28,000 grant from the Frankfurt Education Foundation. The researcher’s prior experience as a curriculum consultant for the Hessian School Administration ensures methodological rigor within Germany’s specific bureaucratic context.</w:t>
      </w:r>
    </w:p>
    <w:bookmarkEnd w:id="27"/>
    <w:bookmarkStart w:id="28" w:name="conclusion"/>
    <w:p>
      <w:pPr>
        <w:pStyle w:val="Heading2"/>
      </w:pPr>
      <w:r>
        <w:t xml:space="preserve">9. Conclusion</w:t>
      </w:r>
    </w:p>
    <w:p>
      <w:pPr>
        <w:pStyle w:val="FirstParagraph"/>
      </w:pPr>
      <w:r>
        <w:t xml:space="preserve">As Frankfurt positions itself as Europe’s foremost education innovation hub, this</w:t>
      </w:r>
      <w:r>
        <w:t xml:space="preserve"> </w:t>
      </w:r>
      <w:r>
        <w:rPr>
          <w:bCs/>
          <w:b/>
        </w:rPr>
        <w:t xml:space="preserve">Thesis Proposal</w:t>
      </w:r>
      <w:r>
        <w:t xml:space="preserve"> </w:t>
      </w:r>
      <w:r>
        <w:t xml:space="preserve">underscores that sustainable educational advancement requires more than policy documents—it demands specialized professionals who can translate vision into classroom reality. The role of the</w:t>
      </w:r>
      <w:r>
        <w:t xml:space="preserve"> </w:t>
      </w:r>
      <w:r>
        <w:rPr>
          <w:bCs/>
          <w:b/>
        </w:rPr>
        <w:t xml:space="preserve">Curriculum Developer</w:t>
      </w:r>
      <w:r>
        <w:t xml:space="preserve"> </w:t>
      </w:r>
      <w:r>
        <w:t xml:space="preserve">is not merely technical but transformative: weaving together cultural sensitivity, pedagogical innovation, and data-driven practice to serve Frankfurt’s most vulnerable learners. By centering</w:t>
      </w:r>
      <w:r>
        <w:t xml:space="preserve"> </w:t>
      </w:r>
      <w:r>
        <w:rPr>
          <w:bCs/>
          <w:b/>
        </w:rPr>
        <w:t xml:space="preserve">Germany Frankfurt</w:t>
      </w:r>
      <w:r>
        <w:t xml:space="preserve">'s unique demographic and institutional landscape, this research will establish a blueprint for how cities worldwide can future-proof their education systems through intentional curriculum leadership. Ultimately, the success of this thesis will be measured not in academic citations alone but in the number of students who experience learning that reflects their identities and equips them for a globalized world.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Excellence in Germany Frankfurt</dc:title>
  <dc:creator/>
  <dc:language>en</dc:language>
  <cp:keywords/>
  <dcterms:created xsi:type="dcterms:W3CDTF">2026-04-24T13:45:13Z</dcterms:created>
  <dcterms:modified xsi:type="dcterms:W3CDTF">2026-04-24T13:45:13Z</dcterms:modified>
</cp:coreProperties>
</file>

<file path=docProps/custom.xml><?xml version="1.0" encoding="utf-8"?>
<Properties xmlns="http://schemas.openxmlformats.org/officeDocument/2006/custom-properties" xmlns:vt="http://schemas.openxmlformats.org/officeDocument/2006/docPropsVTypes"/>
</file>