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Framework</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Kazakhstan</w:t>
      </w:r>
      <w:r>
        <w:t xml:space="preserve"> </w:t>
      </w:r>
      <w:r>
        <w:t xml:space="preserve">Almaty</w:t>
      </w:r>
    </w:p>
    <w:bookmarkStart w:id="29" w:name="Xac5832682917225fea4b0660ecd43a0f429b0fd"/>
    <w:p>
      <w:pPr>
        <w:pStyle w:val="Heading1"/>
      </w:pPr>
      <w:r>
        <w:t xml:space="preserve">Thesis Proposal: Culturally Responsive Curriculum Development for Sustainable Educational Advancement in Kazakhstan Almaty</w:t>
      </w:r>
    </w:p>
    <w:bookmarkStart w:id="20" w:name="introduction-and-contextual-background"/>
    <w:p>
      <w:pPr>
        <w:pStyle w:val="Heading2"/>
      </w:pPr>
      <w:r>
        <w:t xml:space="preserve">1. Introduction and Contextual Background</w:t>
      </w:r>
    </w:p>
    <w:p>
      <w:pPr>
        <w:pStyle w:val="FirstParagraph"/>
      </w:pPr>
      <w:r>
        <w:t xml:space="preserve">The educational landscape of Kazakhstan is undergoing transformative reforms aligned with the national vision of "Kazakhstan 2050" and the "New School" initiative. As the nation strives to modernize its education system, Almaty—the economic and cultural epicenter of Kazakhstan—faces unique challenges in implementing contextually relevant curricula that bridge global standards with local identity. This</w:t>
      </w:r>
      <w:r>
        <w:t xml:space="preserve"> </w:t>
      </w:r>
      <w:r>
        <w:rPr>
          <w:iCs/>
          <w:i/>
        </w:rPr>
        <w:t xml:space="preserve">Thesis Proposal</w:t>
      </w:r>
      <w:r>
        <w:t xml:space="preserve"> </w:t>
      </w:r>
      <w:r>
        <w:t xml:space="preserve">addresses a critical gap: the absence of a structured framework for</w:t>
      </w:r>
      <w:r>
        <w:t xml:space="preserve"> </w:t>
      </w:r>
      <w:r>
        <w:rPr>
          <w:iCs/>
          <w:i/>
        </w:rPr>
        <w:t xml:space="preserve">Curriculum Developer</w:t>
      </w:r>
      <w:r>
        <w:t xml:space="preserve"> </w:t>
      </w:r>
      <w:r>
        <w:t xml:space="preserve">roles tailored to Almaty's multilingual, multicultural environment. With over 30% of Kazakhstan’s schools located in Almaty, and its status as the hub for educational policy implementation, this research directly responds to national priorities outlined in the 2015–2025 National Educational Development Plan. The central premise posits that effective</w:t>
      </w:r>
      <w:r>
        <w:t xml:space="preserve"> </w:t>
      </w:r>
      <w:r>
        <w:rPr>
          <w:iCs/>
          <w:i/>
        </w:rPr>
        <w:t xml:space="preserve">Curriculum Developer</w:t>
      </w:r>
      <w:r>
        <w:t xml:space="preserve"> </w:t>
      </w:r>
      <w:r>
        <w:t xml:space="preserve">practices are indispensable for fostering 21st-century competencies while preserving Kazakh cultural heritage within</w:t>
      </w:r>
      <w:r>
        <w:t xml:space="preserve"> </w:t>
      </w:r>
      <w:r>
        <w:rPr>
          <w:iCs/>
          <w:i/>
        </w:rPr>
        <w:t xml:space="preserve">Kazakhstan Almaty</w:t>
      </w:r>
      <w:r>
        <w:t xml:space="preserve">.</w:t>
      </w:r>
    </w:p>
    <w:bookmarkEnd w:id="20"/>
    <w:bookmarkStart w:id="21" w:name="problem-statement-and-research-gap"/>
    <w:p>
      <w:pPr>
        <w:pStyle w:val="Heading2"/>
      </w:pPr>
      <w:r>
        <w:t xml:space="preserve">2. Problem Statement and Research Gap</w:t>
      </w:r>
    </w:p>
    <w:p>
      <w:pPr>
        <w:pStyle w:val="FirstParagraph"/>
      </w:pPr>
      <w:r>
        <w:t xml:space="preserve">Current curriculum adaptation efforts in Kazakhstan often rely on top-down directives that overlook localized needs. In Almaty, where 45% of students attend schools with bilingual instruction (Kazakh/Russian) and significant ethnic diversity, existing materials lack contextual sensitivity. A 2023 UNESCO report highlighted that only 18% of Almaty’s secondary curricula integrate indigenous knowledge systems or regional case studies. This disconnect impedes student engagement and equity—particularly among Kazakh-speaking rural migrants in urban centers. Crucially, there is no specialized training or professional framework for</w:t>
      </w:r>
      <w:r>
        <w:t xml:space="preserve"> </w:t>
      </w:r>
      <w:r>
        <w:rPr>
          <w:iCs/>
          <w:i/>
        </w:rPr>
        <w:t xml:space="preserve">Curriculum Developer</w:t>
      </w:r>
      <w:r>
        <w:t xml:space="preserve">s operating within</w:t>
      </w:r>
      <w:r>
        <w:t xml:space="preserve"> </w:t>
      </w:r>
      <w:r>
        <w:rPr>
          <w:iCs/>
          <w:i/>
        </w:rPr>
        <w:t xml:space="preserve">Kazakhstan Almaty</w:t>
      </w:r>
      <w:r>
        <w:t xml:space="preserve">, leading to inconsistent implementation across schools. The research gap lies in designing a scalable, culturally anchored</w:t>
      </w:r>
      <w:r>
        <w:t xml:space="preserve"> </w:t>
      </w:r>
      <w:r>
        <w:rPr>
          <w:iCs/>
          <w:i/>
        </w:rPr>
        <w:t xml:space="preserve">Curriculum Developer</w:t>
      </w:r>
      <w:r>
        <w:t xml:space="preserve"> </w:t>
      </w:r>
      <w:r>
        <w:t xml:space="preserve">model that addresses Almaty’s socio-educational ecosystem.</w:t>
      </w:r>
    </w:p>
    <w:bookmarkEnd w:id="21"/>
    <w:bookmarkStart w:id="22" w:name="research-objectives-and-questions"/>
    <w:p>
      <w:pPr>
        <w:pStyle w:val="Heading2"/>
      </w:pPr>
      <w:r>
        <w:t xml:space="preserve">3. Research Objectives and Questions</w:t>
      </w:r>
    </w:p>
    <w:p>
      <w:pPr>
        <w:pStyle w:val="FirstParagraph"/>
      </w:pPr>
      <w:r>
        <w:t xml:space="preserve">This study seeks to establish a practical framework for the</w:t>
      </w:r>
      <w:r>
        <w:t xml:space="preserve"> </w:t>
      </w:r>
      <w:r>
        <w:rPr>
          <w:iCs/>
          <w:i/>
        </w:rPr>
        <w:t xml:space="preserve">Curriculum Developer</w:t>
      </w:r>
      <w:r>
        <w:t xml:space="preserve"> </w:t>
      </w:r>
      <w:r>
        <w:t xml:space="preserve">role in Kazakhstan Almaty through three objectives:</w:t>
      </w:r>
    </w:p>
    <w:p>
      <w:pPr>
        <w:numPr>
          <w:ilvl w:val="0"/>
          <w:numId w:val="1001"/>
        </w:numPr>
        <w:pStyle w:val="Compact"/>
      </w:pPr>
      <w:r>
        <w:t xml:space="preserve">To analyze existing curriculum policies within Almaty’s education sector and identify barriers to cultural relevance.</w:t>
      </w:r>
    </w:p>
    <w:p>
      <w:pPr>
        <w:numPr>
          <w:ilvl w:val="0"/>
          <w:numId w:val="1001"/>
        </w:numPr>
        <w:pStyle w:val="Compact"/>
      </w:pPr>
      <w:r>
        <w:t xml:space="preserve">To co-design a competency-based model for the</w:t>
      </w:r>
      <w:r>
        <w:t xml:space="preserve"> </w:t>
      </w:r>
      <w:r>
        <w:rPr>
          <w:iCs/>
          <w:i/>
        </w:rPr>
        <w:t xml:space="preserve">Curriculum Developer</w:t>
      </w:r>
      <w:r>
        <w:t xml:space="preserve"> </w:t>
      </w:r>
      <w:r>
        <w:t xml:space="preserve">role, incorporating Kazakh epistemologies, digital literacy needs, and multilingual pedagogy.</w:t>
      </w:r>
    </w:p>
    <w:p>
      <w:pPr>
        <w:numPr>
          <w:ilvl w:val="0"/>
          <w:numId w:val="1001"/>
        </w:numPr>
        <w:pStyle w:val="Compact"/>
      </w:pPr>
      <w:r>
        <w:t xml:space="preserve">To validate this framework through pilot implementation in five Almaty schools (2 public, 2 private, 1 international), measuring impact on teacher efficacy and student outcomes.</w:t>
      </w:r>
    </w:p>
    <w:p>
      <w:pPr>
        <w:pStyle w:val="FirstParagraph"/>
      </w:pPr>
      <w:r>
        <w:t xml:space="preserve">Key research questions include: *How can a Kazakhstan Almaty-centric curriculum model balance global competencies with Kazakh identity?* and *What professional competencies must define the Curriculum Developer in this context?*</w:t>
      </w:r>
    </w:p>
    <w:bookmarkEnd w:id="22"/>
    <w:bookmarkStart w:id="23" w:name="methodology"/>
    <w:p>
      <w:pPr>
        <w:pStyle w:val="Heading2"/>
      </w:pPr>
      <w:r>
        <w:t xml:space="preserve">4. Methodology</w:t>
      </w:r>
    </w:p>
    <w:p>
      <w:pPr>
        <w:pStyle w:val="FirstParagraph"/>
      </w:pPr>
      <w:r>
        <w:t xml:space="preserve">A mixed-methods approach will be employed, prioritizing community-based participatory research (CBPR) to ensure authenticity. Phase 1 involves document analysis of Kazakhstan’s National Standards for Education and Almaty-specific district policies. Phase 2 conducts semi-structured interviews with 25 stakeholders: school directors, teachers from diverse Almaty districts (e.g., Auezov, Zhetybai), Ministry of Education officials, and cultural historians. Phase 3 develops a prototype curriculum framework through focus groups with 60 educators in Almaty, followed by a six-month pilot in five schools. Quantitative data (pre/post-student assessments on critical thinking) and qualitative insights (teacher journals, student focus groups) will be triangulated. Ethical protocols will align with Kazakhstan’s National Bioethics Committee guidelines, ensuring participant consent and cultural sensitivity.</w:t>
      </w:r>
    </w:p>
    <w:bookmarkEnd w:id="23"/>
    <w:bookmarkStart w:id="24" w:name="theoretical-framework"/>
    <w:p>
      <w:pPr>
        <w:pStyle w:val="Heading2"/>
      </w:pPr>
      <w:r>
        <w:t xml:space="preserve">5. Theoretical Framework</w:t>
      </w:r>
    </w:p>
    <w:p>
      <w:pPr>
        <w:pStyle w:val="FirstParagraph"/>
      </w:pPr>
      <w:r>
        <w:t xml:space="preserve">The study draws on two pillars: 1)</w:t>
      </w:r>
      <w:r>
        <w:t xml:space="preserve"> </w:t>
      </w:r>
      <w:r>
        <w:rPr>
          <w:iCs/>
          <w:i/>
        </w:rPr>
        <w:t xml:space="preserve">Decolonial Pedagogy</w:t>
      </w:r>
      <w:r>
        <w:t xml:space="preserve">, examining how curriculum can counter Eurocentric biases (Mignolo, 2011), applied to Kazakhstan’s Soviet-influenced legacy; and 2)</w:t>
      </w:r>
      <w:r>
        <w:t xml:space="preserve"> </w:t>
      </w:r>
      <w:r>
        <w:rPr>
          <w:iCs/>
          <w:i/>
        </w:rPr>
        <w:t xml:space="preserve">Culturally Sustaining Pedagogy</w:t>
      </w:r>
      <w:r>
        <w:t xml:space="preserve"> </w:t>
      </w:r>
      <w:r>
        <w:t xml:space="preserve">(Paris &amp; Alim, 2017), adapted to Kazakh oral traditions and urban migrant experiences in Almaty. This framework positions the</w:t>
      </w:r>
      <w:r>
        <w:t xml:space="preserve"> </w:t>
      </w:r>
      <w:r>
        <w:rPr>
          <w:iCs/>
          <w:i/>
        </w:rPr>
        <w:t xml:space="preserve">Curriculum Developer</w:t>
      </w:r>
      <w:r>
        <w:t xml:space="preserve"> </w:t>
      </w:r>
      <w:r>
        <w:t xml:space="preserve">not as an external consultant but as a cultural broker facilitating local knowledge integration—essential for sustainability in</w:t>
      </w:r>
      <w:r>
        <w:t xml:space="preserve"> </w:t>
      </w:r>
      <w:r>
        <w:rPr>
          <w:iCs/>
          <w:i/>
        </w:rPr>
        <w:t xml:space="preserve">Kazakhstan Almaty</w:t>
      </w:r>
      <w:r>
        <w:t xml:space="preserve">.</w:t>
      </w:r>
    </w:p>
    <w:bookmarkEnd w:id="24"/>
    <w:bookmarkStart w:id="25" w:name="significance-of-the-study"/>
    <w:p>
      <w:pPr>
        <w:pStyle w:val="Heading2"/>
      </w:pPr>
      <w:r>
        <w:t xml:space="preserve">6. Significance of the Study</w:t>
      </w:r>
    </w:p>
    <w:p>
      <w:pPr>
        <w:pStyle w:val="FirstParagraph"/>
      </w:pPr>
      <w:r>
        <w:t xml:space="preserve">This research offers immediate value to educational stakeholders in Kazakhstan. For policymakers, it provides evidence-based recommendations for revising the National Curriculum Guidelines, directly supporting the "Digital Kazakhstan" initiative. For Almaty’s schools, it establishes a replicable model for</w:t>
      </w:r>
      <w:r>
        <w:t xml:space="preserve"> </w:t>
      </w:r>
      <w:r>
        <w:rPr>
          <w:iCs/>
          <w:i/>
        </w:rPr>
        <w:t xml:space="preserve">Curriculum Developer</w:t>
      </w:r>
      <w:r>
        <w:t xml:space="preserve"> </w:t>
      </w:r>
      <w:r>
        <w:t xml:space="preserve">training—addressing a critical human capacity gap identified by the World Bank (2022). Crucially, it empowers local educators to lead curriculum innovation rather than adopting imported frameworks. By embedding Kazakh identity through content like traditional *kobyz* music in arts curricula or Almaty’s ecological case studies in science, this work advances Kazakhstan’s goal of "cultural sovereignty" while preparing youth for global citizenship.</w:t>
      </w:r>
    </w:p>
    <w:bookmarkEnd w:id="25"/>
    <w:bookmarkStart w:id="26" w:name="timeline-and-expected-outcomes"/>
    <w:p>
      <w:pPr>
        <w:pStyle w:val="Heading2"/>
      </w:pPr>
      <w:r>
        <w:t xml:space="preserve">7. Timeline and Expected Outcomes</w:t>
      </w:r>
    </w:p>
    <w:p>
      <w:pPr>
        <w:pStyle w:val="FirstParagraph"/>
      </w:pPr>
      <w:r>
        <w:t xml:space="preserve">The project spans 18 months: Months 1–3 (literature review/ethnographic mapping), Months 4–8 (stakeholder engagement/pilot design), Months 9–15 (implementation/evaluation), and Months 16–18 (dissemination). Expected outcomes include: a validated</w:t>
      </w:r>
      <w:r>
        <w:t xml:space="preserve"> </w:t>
      </w:r>
      <w:r>
        <w:rPr>
          <w:iCs/>
          <w:i/>
        </w:rPr>
        <w:t xml:space="preserve">Curriculum Developer</w:t>
      </w:r>
      <w:r>
        <w:t xml:space="preserve"> </w:t>
      </w:r>
      <w:r>
        <w:t xml:space="preserve">competency matrix, a digital toolkit for Almaty schools, and policy briefs for the Ministry of Education. The framework will be contextualized to Almaty’s unique urban challenges—such as integrating migrant students from rural villages into city classrooms—ensuring scalability across Kazakhstan.</w:t>
      </w:r>
    </w:p>
    <w:bookmarkEnd w:id="26"/>
    <w:bookmarkStart w:id="27" w:name="conclusion"/>
    <w:p>
      <w:pPr>
        <w:pStyle w:val="Heading2"/>
      </w:pPr>
      <w:r>
        <w:t xml:space="preserve">8. Conclusion</w:t>
      </w:r>
    </w:p>
    <w:p>
      <w:pPr>
        <w:pStyle w:val="FirstParagraph"/>
      </w:pPr>
      <w:r>
        <w:t xml:space="preserve">In an era of rapid globalization, educational systems must evolve beyond standardized templates. This</w:t>
      </w:r>
      <w:r>
        <w:t xml:space="preserve"> </w:t>
      </w:r>
      <w:r>
        <w:rPr>
          <w:iCs/>
          <w:i/>
        </w:rPr>
        <w:t xml:space="preserve">Thesis Proposal</w:t>
      </w:r>
      <w:r>
        <w:t xml:space="preserve"> </w:t>
      </w:r>
      <w:r>
        <w:t xml:space="preserve">asserts that the success of Kazakhstan’s education reforms hinges on a localized, culturally grounded approach spearheaded by skilled professionals: the</w:t>
      </w:r>
      <w:r>
        <w:t xml:space="preserve"> </w:t>
      </w:r>
      <w:r>
        <w:rPr>
          <w:iCs/>
          <w:i/>
        </w:rPr>
        <w:t xml:space="preserve">Curriculum Developer</w:t>
      </w:r>
      <w:r>
        <w:t xml:space="preserve">. By centering Almaty—a microcosm of Kazakhstan’s diversity—the research will produce actionable insights that resonate nationally. The proposed model transcends mere syllabus updates; it cultivates an educational ecosystem where Kazakh identity and global readiness coexist. As Kazakhstan positions itself as a Central Asian leader, investing in</w:t>
      </w:r>
      <w:r>
        <w:t xml:space="preserve"> </w:t>
      </w:r>
      <w:r>
        <w:rPr>
          <w:iCs/>
          <w:i/>
        </w:rPr>
        <w:t xml:space="preserve">Curriculum Developer</w:t>
      </w:r>
      <w:r>
        <w:t xml:space="preserve"> </w:t>
      </w:r>
      <w:r>
        <w:t xml:space="preserve">expertise within</w:t>
      </w:r>
      <w:r>
        <w:t xml:space="preserve"> </w:t>
      </w:r>
      <w:r>
        <w:rPr>
          <w:iCs/>
          <w:i/>
        </w:rPr>
        <w:t xml:space="preserve">Kazakhstan Almaty</w:t>
      </w:r>
      <w:r>
        <w:t xml:space="preserve"> </w:t>
      </w:r>
      <w:r>
        <w:t xml:space="preserve">is not merely beneficial—it is foundational to realizing its 2050 vision.</w:t>
      </w:r>
    </w:p>
    <w:bookmarkEnd w:id="27"/>
    <w:bookmarkStart w:id="28" w:name="bibliography-selected"/>
    <w:p>
      <w:pPr>
        <w:pStyle w:val="Heading2"/>
      </w:pPr>
      <w:r>
        <w:t xml:space="preserve">Bibliography (Selected)</w:t>
      </w:r>
    </w:p>
    <w:p>
      <w:pPr>
        <w:numPr>
          <w:ilvl w:val="0"/>
          <w:numId w:val="1002"/>
        </w:numPr>
        <w:pStyle w:val="Compact"/>
      </w:pPr>
      <w:r>
        <w:t xml:space="preserve">UNESCO. (2023). *Education Reform in Kazakhstan: Progress and Challenges*. Almaty Office.</w:t>
      </w:r>
    </w:p>
    <w:p>
      <w:pPr>
        <w:numPr>
          <w:ilvl w:val="0"/>
          <w:numId w:val="1002"/>
        </w:numPr>
        <w:pStyle w:val="Compact"/>
      </w:pPr>
      <w:r>
        <w:t xml:space="preserve">Mignolo, W. D. (2011). *The Darker Side of Western Modernity*. Duke University Press.</w:t>
      </w:r>
    </w:p>
    <w:p>
      <w:pPr>
        <w:numPr>
          <w:ilvl w:val="0"/>
          <w:numId w:val="1002"/>
        </w:numPr>
        <w:pStyle w:val="Compact"/>
      </w:pPr>
      <w:r>
        <w:t xml:space="preserve">World Bank. (2022). *Kazakhstan Education Sector Review: Curriculum and Teacher Development*. Washington, DC.</w:t>
      </w:r>
    </w:p>
    <w:p>
      <w:pPr>
        <w:numPr>
          <w:ilvl w:val="0"/>
          <w:numId w:val="1002"/>
        </w:numPr>
        <w:pStyle w:val="Compact"/>
      </w:pPr>
      <w:r>
        <w:t xml:space="preserve">Paris, R., &amp; Alim, H. S. (2017). *Culturally Sustaining Pedagogy*. Teachers College Press.</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Framework for Educational Transformation in Kazakhstan Almaty</dc:title>
  <dc:creator/>
  <dc:language>en</dc:language>
  <cp:keywords/>
  <dcterms:created xsi:type="dcterms:W3CDTF">2026-07-13T17:02:05Z</dcterms:created>
  <dcterms:modified xsi:type="dcterms:W3CDTF">2026-07-13T17:02:05Z</dcterms:modified>
</cp:coreProperties>
</file>

<file path=docProps/custom.xml><?xml version="1.0" encoding="utf-8"?>
<Properties xmlns="http://schemas.openxmlformats.org/officeDocument/2006/custom-properties" xmlns:vt="http://schemas.openxmlformats.org/officeDocument/2006/docPropsVTypes"/>
</file>