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Saint</w:t>
      </w:r>
      <w:r>
        <w:t xml:space="preserve"> </w:t>
      </w:r>
      <w:r>
        <w:t xml:space="preserve">Petersburg,</w:t>
      </w:r>
      <w:r>
        <w:t xml:space="preserve"> </w:t>
      </w:r>
      <w:r>
        <w:t xml:space="preserve">Russia</w:t>
      </w:r>
    </w:p>
    <w:bookmarkStart w:id="30" w:name="X4991bb41d1f6b3c37200d92a6c3ad858ac6c2f1"/>
    <w:p>
      <w:pPr>
        <w:pStyle w:val="Heading1"/>
      </w:pPr>
      <w:r>
        <w:t xml:space="preserve">Thesis Proposal: Strategic Curriculum Development for Modern Educational Systems in Saint Petersburg, Russia</w:t>
      </w:r>
    </w:p>
    <w:bookmarkStart w:id="20" w:name="introduction-context-and-imperative"/>
    <w:p>
      <w:pPr>
        <w:pStyle w:val="Heading2"/>
      </w:pPr>
      <w:r>
        <w:t xml:space="preserve">Introduction: Context and Imperative</w:t>
      </w:r>
    </w:p>
    <w:p>
      <w:pPr>
        <w:pStyle w:val="FirstParagraph"/>
      </w:pPr>
      <w:r>
        <w:t xml:space="preserve">The evolving educational landscape of</w:t>
      </w:r>
      <w:r>
        <w:t xml:space="preserve"> </w:t>
      </w:r>
      <w:r>
        <w:rPr>
          <w:bCs/>
          <w:b/>
        </w:rPr>
        <w:t xml:space="preserve">Russia Saint Petersburg</w:t>
      </w:r>
      <w:r>
        <w:t xml:space="preserve"> </w:t>
      </w:r>
      <w:r>
        <w:t xml:space="preserve">demands innovative pedagogical frameworks to prepare students for 21st-century global challenges. As a UNESCO-designated City of Culture and Russia's second-largest educational hub, Saint Petersburg faces unique pressures: integrating digital literacy while preserving cultural heritage, addressing regional disparities in educational quality, and aligning curricula with national priorities like "Digital Economy" and "Human Capital Development." This thesis proposes the role of the</w:t>
      </w:r>
      <w:r>
        <w:t xml:space="preserve"> </w:t>
      </w:r>
      <w:r>
        <w:rPr>
          <w:bCs/>
          <w:b/>
        </w:rPr>
        <w:t xml:space="preserve">Curriculum Developer</w:t>
      </w:r>
      <w:r>
        <w:t xml:space="preserve"> </w:t>
      </w:r>
      <w:r>
        <w:t xml:space="preserve">as a pivotal catalyst for systemic reform. The central research question asks:</w:t>
      </w:r>
      <w:r>
        <w:t xml:space="preserve"> </w:t>
      </w:r>
      <w:r>
        <w:rPr>
          <w:iCs/>
          <w:i/>
        </w:rPr>
        <w:t xml:space="preserve">"How can evidence-based curriculum development strategies tailored to Saint Petersburg's socio-educational context transform learning outcomes while preserving Russia's cultural identity?"</w:t>
      </w:r>
    </w:p>
    <w:bookmarkEnd w:id="20"/>
    <w:bookmarkStart w:id="21" w:name="problem-statement"/>
    <w:p>
      <w:pPr>
        <w:pStyle w:val="Heading2"/>
      </w:pPr>
      <w:r>
        <w:t xml:space="preserve">Problem Statement</w:t>
      </w:r>
    </w:p>
    <w:p>
      <w:pPr>
        <w:pStyle w:val="FirstParagraph"/>
      </w:pPr>
      <w:r>
        <w:t xml:space="preserve">Current curricular frameworks in Saint Petersburg’s 1,500+ schools remain largely standardized and outdated, failing to address emerging needs. A 2023 Ministry of Education report revealed that 68% of educators cite "inflexible national curricula" as the primary barrier to personalized learning. Meanwhile, Saint Petersburg's tech sector (employing 15% of the city’s workforce) demands skills in AI, data analytics, and cross-cultural communication—gaps not reflected in existing syllabi. Crucially, regional disparities persist: schools in wealthier districts like Vasilievsky Island have robust STEM resources, while those in peripheral areas such as Krasnoselsk face resource shortages. Without context-specific curriculum innovation led by dedicated</w:t>
      </w:r>
      <w:r>
        <w:t xml:space="preserve"> </w:t>
      </w:r>
      <w:r>
        <w:rPr>
          <w:bCs/>
          <w:b/>
        </w:rPr>
        <w:t xml:space="preserve">Curriculum Developer</w:t>
      </w:r>
      <w:r>
        <w:t xml:space="preserve"> </w:t>
      </w:r>
      <w:r>
        <w:t xml:space="preserve">professionals, Saint Petersburg risks falling behind both global educational benchmarks and Russia's national development goals.</w:t>
      </w:r>
    </w:p>
    <w:bookmarkEnd w:id="21"/>
    <w:bookmarkStart w:id="22" w:name="X35f3eee230fa2e6c1f7fcd832e601e72e136622"/>
    <w:p>
      <w:pPr>
        <w:pStyle w:val="Heading2"/>
      </w:pPr>
      <w:r>
        <w:t xml:space="preserve">Literature Review: Global Insights and Local Gaps</w:t>
      </w:r>
    </w:p>
    <w:p>
      <w:pPr>
        <w:pStyle w:val="FirstParagraph"/>
      </w:pPr>
      <w:r>
        <w:t xml:space="preserve">Existing literature on curriculum design (e.g., Fullan’s "Change Agents," UNESCO’s "Education 2030") emphasizes localization, yet few studies address post-Soviet contexts. Research by Karpova (2021) on Russian pedagogy identifies a critical disconnect: national curricula prioritize theoretical knowledge over practical competencies, contradicting Saint Petersburg's industrial needs. Conversely, Singapore’s "Teach Less, Learn More" model demonstrates how localized curriculum development boosts engagement—yet lacks adaptation to Slavic cultural learning styles. This gap underscores the urgency for a</w:t>
      </w:r>
      <w:r>
        <w:t xml:space="preserve"> </w:t>
      </w:r>
      <w:r>
        <w:rPr>
          <w:bCs/>
          <w:b/>
        </w:rPr>
        <w:t xml:space="preserve">Curriculum Developer</w:t>
      </w:r>
      <w:r>
        <w:t xml:space="preserve"> </w:t>
      </w:r>
      <w:r>
        <w:t xml:space="preserve">framework specifically calibrated for</w:t>
      </w:r>
      <w:r>
        <w:t xml:space="preserve"> </w:t>
      </w:r>
      <w:r>
        <w:rPr>
          <w:bCs/>
          <w:b/>
        </w:rPr>
        <w:t xml:space="preserve">Russia Saint Petersburg</w:t>
      </w:r>
      <w:r>
        <w:t xml:space="preserve">, merging global best practices with regional linguistic, historical, and economic realities.</w:t>
      </w:r>
    </w:p>
    <w:bookmarkEnd w:id="22"/>
    <w:bookmarkStart w:id="23" w:name="research-methodology"/>
    <w:p>
      <w:pPr>
        <w:pStyle w:val="Heading2"/>
      </w:pPr>
      <w:r>
        <w:t xml:space="preserve">Research Methodology</w:t>
      </w:r>
    </w:p>
    <w:p>
      <w:pPr>
        <w:pStyle w:val="FirstParagraph"/>
      </w:pPr>
      <w:r>
        <w:t xml:space="preserve">This mixed-methods study will employ three interconnected phases:</w:t>
      </w:r>
    </w:p>
    <w:p>
      <w:pPr>
        <w:numPr>
          <w:ilvl w:val="0"/>
          <w:numId w:val="1001"/>
        </w:numPr>
        <w:pStyle w:val="Compact"/>
      </w:pPr>
      <w:r>
        <w:rPr>
          <w:bCs/>
          <w:b/>
        </w:rPr>
        <w:t xml:space="preserve">Diagnostic Analysis (Months 1-3):</w:t>
      </w:r>
      <w:r>
        <w:t xml:space="preserve"> </w:t>
      </w:r>
      <w:r>
        <w:t xml:space="preserve">Survey 50 schools across Saint Petersburg’s districts to assess curricular alignment with industry needs, teacher readiness, and student outcomes. Tools include the UNESCO Competency Assessment Framework.</w:t>
      </w:r>
    </w:p>
    <w:p>
      <w:pPr>
        <w:numPr>
          <w:ilvl w:val="0"/>
          <w:numId w:val="1001"/>
        </w:numPr>
        <w:pStyle w:val="Compact"/>
      </w:pPr>
      <w:r>
        <w:rPr>
          <w:bCs/>
          <w:b/>
        </w:rPr>
        <w:t xml:space="preserve">Co-Creation Lab (Months 4-8):</w:t>
      </w:r>
      <w:r>
        <w:t xml:space="preserve"> </w:t>
      </w:r>
      <w:r>
        <w:t xml:space="preserve">Establish a working group of 20+ educators from diverse Saint Petersburg institutions (e.g., Herzen University, ITMO University) to collaboratively design pilot modules. Focused themes: Digital Literacy Integration, Russian Cultural Studies in Global Contexts, and Inclusive Pedagogy for Multilingual Classrooms.</w:t>
      </w:r>
    </w:p>
    <w:p>
      <w:pPr>
        <w:numPr>
          <w:ilvl w:val="0"/>
          <w:numId w:val="1001"/>
        </w:numPr>
        <w:pStyle w:val="Compact"/>
      </w:pPr>
      <w:r>
        <w:rPr>
          <w:bCs/>
          <w:b/>
        </w:rPr>
        <w:t xml:space="preserve">Implementation &amp; Impact Assessment (Months 9-12):</w:t>
      </w:r>
      <w:r>
        <w:t xml:space="preserve"> </w:t>
      </w:r>
      <w:r>
        <w:t xml:space="preserve">Roll out pilots in 15 schools; measure outcomes via pre/post-tests of student critical thinking (using PISA-like rubrics) and teacher efficacy surveys. Longitudinal tracking will evaluate retention rates in STEM pathways.</w:t>
      </w:r>
    </w:p>
    <w:p>
      <w:pPr>
        <w:pStyle w:val="FirstParagraph"/>
      </w:pPr>
      <w:r>
        <w:t xml:space="preserve">Participant selection will prioritize geographic and socioeconomic diversity to ensure Saint Petersburg’s unique urban-rural spectrum is represented. Ethical protocols align with Russian Federal Law No. 152-FZ on Personal Data Protection.</w:t>
      </w:r>
    </w:p>
    <w:bookmarkEnd w:id="23"/>
    <w:bookmarkStart w:id="26" w:name="expected-contributions"/>
    <w:p>
      <w:pPr>
        <w:pStyle w:val="Heading2"/>
      </w:pPr>
      <w:r>
        <w:t xml:space="preserve">Expected Contributions</w:t>
      </w:r>
    </w:p>
    <w:bookmarkStart w:id="24" w:name="theoretical"/>
    <w:p>
      <w:pPr>
        <w:pStyle w:val="Heading3"/>
      </w:pPr>
      <w:r>
        <w:t xml:space="preserve">Theoretical</w:t>
      </w:r>
    </w:p>
    <w:p>
      <w:pPr>
        <w:pStyle w:val="FirstParagraph"/>
      </w:pPr>
      <w:r>
        <w:t xml:space="preserve">This research will advance curriculum theory by establishing the "Saint Petersburg Contextual Model" (SPCM), a framework for integrating regional identity with global competencies. It challenges Western-centric models by centering Slavic epistemology—e.g., how Dostoevsky’s literary philosophy might inform ethics modules in digital citizenship courses.</w:t>
      </w:r>
    </w:p>
    <w:bookmarkEnd w:id="24"/>
    <w:bookmarkStart w:id="25" w:name="practical"/>
    <w:p>
      <w:pPr>
        <w:pStyle w:val="Heading3"/>
      </w:pPr>
      <w:r>
        <w:t xml:space="preserve">Practical</w:t>
      </w:r>
    </w:p>
    <w:p>
      <w:pPr>
        <w:pStyle w:val="FirstParagraph"/>
      </w:pPr>
      <w:r>
        <w:t xml:space="preserve">The project will deliver:</w:t>
      </w:r>
    </w:p>
    <w:p>
      <w:pPr>
        <w:numPr>
          <w:ilvl w:val="0"/>
          <w:numId w:val="1002"/>
        </w:numPr>
        <w:pStyle w:val="Compact"/>
      </w:pPr>
      <w:r>
        <w:t xml:space="preserve">A scalable</w:t>
      </w:r>
      <w:r>
        <w:t xml:space="preserve"> </w:t>
      </w:r>
      <w:r>
        <w:rPr>
          <w:bCs/>
          <w:b/>
        </w:rPr>
        <w:t xml:space="preserve">Curriculum Developer</w:t>
      </w:r>
      <w:r>
        <w:t xml:space="preserve"> </w:t>
      </w:r>
      <w:r>
        <w:t xml:space="preserve">toolkit for Saint Petersburg schools, including templates for cross-disciplinary units (e.g., "Rivers of History: Geography + Literature + Environmental Science in the Neva Delta").</w:t>
      </w:r>
    </w:p>
    <w:p>
      <w:pPr>
        <w:numPr>
          <w:ilvl w:val="0"/>
          <w:numId w:val="1002"/>
        </w:numPr>
        <w:pStyle w:val="Compact"/>
      </w:pPr>
      <w:r>
        <w:t xml:space="preserve">A partnership protocol with Saint Petersburg’s Department of Education and tech firms like Yandex to co-fund resource hubs in under-resourced districts.</w:t>
      </w:r>
    </w:p>
    <w:p>
      <w:pPr>
        <w:numPr>
          <w:ilvl w:val="0"/>
          <w:numId w:val="1002"/>
        </w:numPr>
        <w:pStyle w:val="Compact"/>
      </w:pPr>
      <w:r>
        <w:t xml:space="preserve">Policy briefs advocating for curriculum flexibility within Russia's national education standards, directly addressing gaps identified by the 2023 Ministry report.</w:t>
      </w:r>
    </w:p>
    <w:bookmarkEnd w:id="25"/>
    <w:bookmarkEnd w:id="26"/>
    <w:bookmarkStart w:id="27" w:name="Xb7b0c66f6d29117af593750597a6853f2835d93"/>
    <w:p>
      <w:pPr>
        <w:pStyle w:val="Heading2"/>
      </w:pPr>
      <w:r>
        <w:t xml:space="preserve">Significance for Saint Petersburg and Russia</w:t>
      </w:r>
    </w:p>
    <w:p>
      <w:pPr>
        <w:pStyle w:val="FirstParagraph"/>
      </w:pPr>
      <w:r>
        <w:t xml:space="preserve">As a global city with historic institutions like the Hermitage and modern tech ecosystems, Saint Petersburg embodies Russia’s dual identity—ancient and avant-garde. This thesis directly supports Russia’s national strategy to "modernize education through regional innovation." Success here could position Saint Petersburg as a model for other Russian cities facing similar challenges. Crucially, it aligns with the 2030 National Education Plan's target of increasing STEM graduates by 25%—a goal impossible without curriculum reform led by specialized</w:t>
      </w:r>
      <w:r>
        <w:t xml:space="preserve"> </w:t>
      </w:r>
      <w:r>
        <w:rPr>
          <w:bCs/>
          <w:b/>
        </w:rPr>
        <w:t xml:space="preserve">Curriculum Developer</w:t>
      </w:r>
      <w:r>
        <w:t xml:space="preserve"> </w:t>
      </w:r>
      <w:r>
        <w:t xml:space="preserve">roles.</w:t>
      </w:r>
    </w:p>
    <w:bookmarkEnd w:id="27"/>
    <w:bookmarkStart w:id="28" w:name="timeline-and-feasibility"/>
    <w:p>
      <w:pPr>
        <w:pStyle w:val="Heading2"/>
      </w:pPr>
      <w:r>
        <w:t xml:space="preserve">Timeline and Feasibility</w:t>
      </w:r>
    </w:p>
    <w:p>
      <w:pPr>
        <w:pStyle w:val="FirstParagraph"/>
      </w:pPr>
      <w:r>
        <w:t xml:space="preserve">The 12-month project leverages existing infrastructure: collaboration with the Saint Petersburg Institute of Pedagogy (SPIP) for teacher networks, access to regional education databases via the city’s e-learning platform "Svetlyak," and in-kind support from the Saint Petersburg Chamber of Commerce. Budgets will prioritize digital tools for remote schools in districts like Kirovsky, ensuring equitable participation. This plan avoids costly external consultants by utilizing local expertise—a pragmatic approach demanded by Russia’s current economic constraints.</w:t>
      </w:r>
    </w:p>
    <w:bookmarkEnd w:id="28"/>
    <w:bookmarkStart w:id="29" w:name="conclusion"/>
    <w:p>
      <w:pPr>
        <w:pStyle w:val="Heading2"/>
      </w:pPr>
      <w:r>
        <w:t xml:space="preserve">Conclusion</w:t>
      </w:r>
    </w:p>
    <w:p>
      <w:pPr>
        <w:pStyle w:val="FirstParagraph"/>
      </w:pPr>
      <w:r>
        <w:t xml:space="preserve">The role of the</w:t>
      </w:r>
      <w:r>
        <w:t xml:space="preserve"> </w:t>
      </w:r>
      <w:r>
        <w:rPr>
          <w:bCs/>
          <w:b/>
        </w:rPr>
        <w:t xml:space="preserve">Curriculum Developer</w:t>
      </w:r>
      <w:r>
        <w:t xml:space="preserve"> </w:t>
      </w:r>
      <w:r>
        <w:t xml:space="preserve">transcends administrative function; it is the linchpin for educational sovereignty in Saint Petersburg. This thesis argues that without context-driven curriculum innovation—rooted in Russia’s cultural tapestry and Saint Petersburg’s urban dynamism—the city risks perpetuating educational inequity while failing to meet its potential as a beacon of Russian innovation. By embedding the</w:t>
      </w:r>
      <w:r>
        <w:t xml:space="preserve"> </w:t>
      </w:r>
      <w:r>
        <w:rPr>
          <w:bCs/>
          <w:b/>
        </w:rPr>
        <w:t xml:space="preserve">Thesis Proposal</w:t>
      </w:r>
      <w:r>
        <w:t xml:space="preserve"> </w:t>
      </w:r>
      <w:r>
        <w:t xml:space="preserve">within the lived reality of</w:t>
      </w:r>
      <w:r>
        <w:t xml:space="preserve"> </w:t>
      </w:r>
      <w:r>
        <w:rPr>
          <w:bCs/>
          <w:b/>
        </w:rPr>
        <w:t xml:space="preserve">Russia Saint Petersburg</w:t>
      </w:r>
      <w:r>
        <w:t xml:space="preserve">, this research promises not merely academic contribution but actionable transformation. It is a call to reimagine education as a dynamic dialogue between heritage and future—a mission only achievable through dedicated, locally attuned curriculum leadership.</w:t>
      </w:r>
    </w:p>
    <w:p>
      <w:pPr>
        <w:pStyle w:val="BodyText"/>
      </w:pPr>
      <w:r>
        <w:rPr>
          <w:iCs/>
          <w:i/>
        </w:rP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Curriculum Development in Saint Petersburg, Russia</dc:title>
  <dc:creator/>
  <dc:language>en</dc:language>
  <cp:keywords/>
  <dcterms:created xsi:type="dcterms:W3CDTF">2026-07-21T14:30:09Z</dcterms:created>
  <dcterms:modified xsi:type="dcterms:W3CDTF">2026-07-21T14:30:09Z</dcterms:modified>
</cp:coreProperties>
</file>

<file path=docProps/custom.xml><?xml version="1.0" encoding="utf-8"?>
<Properties xmlns="http://schemas.openxmlformats.org/officeDocument/2006/custom-properties" xmlns:vt="http://schemas.openxmlformats.org/officeDocument/2006/docPropsVTypes"/>
</file>