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9" w:name="Xb9786d4afe1412c5e174b4e79248c881ab9ef4f"/>
    <w:p>
      <w:pPr>
        <w:pStyle w:val="Heading1"/>
      </w:pPr>
      <w:r>
        <w:t xml:space="preserve">Thesis Proposal: Enhancing Operational Effectiveness of Customs Officers in Australia Sydney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Customs Officer</w:t>
      </w:r>
      <w:r>
        <w:t xml:space="preserve"> </w:t>
      </w:r>
      <w:r>
        <w:t xml:space="preserve">within the Australian Border Force (ABF) is pivotal to safeguarding national security, facilitating legitimate trade, and enforcing customs legislation across Australia's vast maritime and air corridors. As Australia's largest port city, Sydney serves as a critical nexus for international commerce, handling over 34% of the nation's containerized trade and serving as the primary gateway for 15 million passengers annually. This thesis proposal outlines a rigorous academic investigation into the evolving challenges, technological adaptations, and operational frameworks governing</w:t>
      </w:r>
      <w:r>
        <w:t xml:space="preserve"> </w:t>
      </w:r>
      <w:r>
        <w:rPr>
          <w:bCs/>
          <w:b/>
        </w:rPr>
        <w:t xml:space="preserve">Customs Officer</w:t>
      </w:r>
      <w:r>
        <w:t xml:space="preserve">s in</w:t>
      </w:r>
      <w:r>
        <w:t xml:space="preserve"> </w:t>
      </w:r>
      <w:r>
        <w:rPr>
          <w:bCs/>
          <w:b/>
        </w:rPr>
        <w:t xml:space="preserve">Australia Sydney</w:t>
      </w:r>
      <w:r>
        <w:t xml:space="preserve">. With e-commerce surging by 32% year-on-year at Sydney ports and emerging threats including illicit drug trafficking via small parcels (up 45% since 2021), the need for evidence-based improvements to frontline customs operations has never been more urgent. This research directly addresses a critical gap in understanding how</w:t>
      </w:r>
      <w:r>
        <w:t xml:space="preserve"> </w:t>
      </w:r>
      <w:r>
        <w:rPr>
          <w:bCs/>
          <w:b/>
        </w:rPr>
        <w:t xml:space="preserve">Customs Officer</w:t>
      </w:r>
      <w:r>
        <w:t xml:space="preserve"> </w:t>
      </w:r>
      <w:r>
        <w:t xml:space="preserve">effectiveness can be optimized within Sydney's unique operational ecosystem.</w:t>
      </w:r>
    </w:p>
    <w:bookmarkEnd w:id="20"/>
    <w:bookmarkStart w:id="21" w:name="Xaff19bce6f40b75a9b16fded01b8919d0ec14e8"/>
    <w:p>
      <w:pPr>
        <w:pStyle w:val="Heading2"/>
      </w:pPr>
      <w:r>
        <w:t xml:space="preserve">2. Literature Review: Contextualizing Customs Operations in Australia Sydney</w:t>
      </w:r>
    </w:p>
    <w:p>
      <w:pPr>
        <w:pStyle w:val="FirstParagraph"/>
      </w:pPr>
      <w:r>
        <w:t xml:space="preserve">Existing scholarship on customs administration predominantly focuses on national frameworks (e.g., Chikumbu, 2018; ABF Strategic Review, 2020), with limited empirical attention to localized operational dynamics in major ports. While studies by the Australian Institute of Criminology (AIC, 2022) highlight global trends in border security, they neglect Sydney-specific contextual factors such as its dense urban port infrastructure (Port Botany), multicultural passenger flows, and proximity to Pacific Islander trade corridors. Crucially, no recent research has examined how technological integration—such as the ABF's Automated Commercial Environment (ACE) system—impacts daily decision-making for</w:t>
      </w:r>
      <w:r>
        <w:t xml:space="preserve"> </w:t>
      </w:r>
      <w:r>
        <w:rPr>
          <w:bCs/>
          <w:b/>
        </w:rPr>
        <w:t xml:space="preserve">Customs Officer</w:t>
      </w:r>
      <w:r>
        <w:t xml:space="preserve">s in Sydney’s high-volume environment. This thesis bridges this gap by grounding analysis in Sydney's operational realities, where customs officers manage over 12,000 daily cargo declarations and 45,000 passenger interactions at Sydney Airport alone.</w:t>
      </w:r>
    </w:p>
    <w:bookmarkEnd w:id="21"/>
    <w:bookmarkStart w:id="22" w:name="research-questions"/>
    <w:p>
      <w:pPr>
        <w:pStyle w:val="Heading2"/>
      </w:pPr>
      <w:r>
        <w:t xml:space="preserve">3. Research Questions</w:t>
      </w:r>
    </w:p>
    <w:p>
      <w:pPr>
        <w:numPr>
          <w:ilvl w:val="0"/>
          <w:numId w:val="1001"/>
        </w:numPr>
        <w:pStyle w:val="Compact"/>
      </w:pPr>
      <w:r>
        <w:t xml:space="preserve">How do technological tools (e.g., ACE system, AI-driven risk assessment) influence the accuracy and efficiency of customs clearance processes performed by</w:t>
      </w:r>
      <w:r>
        <w:t xml:space="preserve"> </w:t>
      </w:r>
      <w:r>
        <w:rPr>
          <w:bCs/>
          <w:b/>
        </w:rPr>
        <w:t xml:space="preserve">Customs Officer</w:t>
      </w:r>
      <w:r>
        <w:t xml:space="preserve">s in Australia Sydney?</w:t>
      </w:r>
    </w:p>
    <w:p>
      <w:pPr>
        <w:numPr>
          <w:ilvl w:val="0"/>
          <w:numId w:val="1001"/>
        </w:numPr>
        <w:pStyle w:val="Compact"/>
      </w:pPr>
      <w:r>
        <w:t xml:space="preserve">To what extent do socio-cultural factors (e.g., language diversity among traders, community trust dynamics) impact the effectiveness of</w:t>
      </w:r>
      <w:r>
        <w:t xml:space="preserve"> </w:t>
      </w:r>
      <w:r>
        <w:rPr>
          <w:bCs/>
          <w:b/>
        </w:rPr>
        <w:t xml:space="preserve">Customs Officer</w:t>
      </w:r>
      <w:r>
        <w:t xml:space="preserve"> </w:t>
      </w:r>
      <w:r>
        <w:t xml:space="preserve">interactions at Sydney’s ports?</w:t>
      </w:r>
    </w:p>
    <w:p>
      <w:pPr>
        <w:numPr>
          <w:ilvl w:val="0"/>
          <w:numId w:val="1001"/>
        </w:numPr>
        <w:pStyle w:val="Compact"/>
      </w:pPr>
      <w:r>
        <w:t xml:space="preserve">In light of evolving threats (e.g., pharmaceutical trafficking, cyber-enabled fraud), how can training protocols for</w:t>
      </w:r>
      <w:r>
        <w:t xml:space="preserve"> </w:t>
      </w:r>
      <w:r>
        <w:rPr>
          <w:bCs/>
          <w:b/>
        </w:rPr>
        <w:t xml:space="preserve">Customs Officer</w:t>
      </w:r>
      <w:r>
        <w:t xml:space="preserve">s in Sydney be modernized to enhance proactive threat detection without compromising trade facilitation?</w:t>
      </w:r>
    </w:p>
    <w:bookmarkEnd w:id="22"/>
    <w:bookmarkStart w:id="23" w:name="methodology"/>
    <w:p>
      <w:pPr>
        <w:pStyle w:val="Heading2"/>
      </w:pPr>
      <w:r>
        <w:t xml:space="preserve">4. Methodology</w:t>
      </w:r>
    </w:p>
    <w:p>
      <w:pPr>
        <w:pStyle w:val="FirstParagraph"/>
      </w:pPr>
      <w:r>
        <w:t xml:space="preserve">This study employs a mixed-methods approach designed specifically for the Sydney context:</w:t>
      </w:r>
    </w:p>
    <w:p>
      <w:pPr>
        <w:numPr>
          <w:ilvl w:val="0"/>
          <w:numId w:val="1002"/>
        </w:numPr>
        <w:pStyle w:val="Compact"/>
      </w:pPr>
      <w:r>
        <w:rPr>
          <w:bCs/>
          <w:b/>
        </w:rPr>
        <w:t xml:space="preserve">Quantitative Phase:</w:t>
      </w:r>
      <w:r>
        <w:t xml:space="preserve"> </w:t>
      </w:r>
      <w:r>
        <w:t xml:space="preserve">Analysis of 18 months of ABF Sydney clearance data (2022–2023), including clearance times, risk-assessment outcomes, and incident reports. This will identify correlations between technology use and operational efficiency.</w:t>
      </w:r>
    </w:p>
    <w:p>
      <w:pPr>
        <w:numPr>
          <w:ilvl w:val="0"/>
          <w:numId w:val="1002"/>
        </w:numPr>
        <w:pStyle w:val="Compact"/>
      </w:pPr>
      <w:r>
        <w:rPr>
          <w:bCs/>
          <w:b/>
        </w:rPr>
        <w:t xml:space="preserve">Qualitative Phase:</w:t>
      </w:r>
      <w:r>
        <w:t xml:space="preserve"> </w:t>
      </w:r>
      <w:r>
        <w:t xml:space="preserve">Semi-structured interviews with 35</w:t>
      </w:r>
      <w:r>
        <w:t xml:space="preserve"> </w:t>
      </w:r>
      <w:r>
        <w:rPr>
          <w:bCs/>
          <w:b/>
        </w:rPr>
        <w:t xml:space="preserve">Customs Officer</w:t>
      </w:r>
      <w:r>
        <w:t xml:space="preserve">s across Sydney Airport, Port Botany, and Sydney CBD clearance centers (stratified by experience level). Focus groups will explore challenges in cross-cultural communication and technology adoption.</w:t>
      </w:r>
    </w:p>
    <w:p>
      <w:pPr>
        <w:numPr>
          <w:ilvl w:val="0"/>
          <w:numId w:val="1002"/>
        </w:numPr>
        <w:pStyle w:val="Compact"/>
      </w:pPr>
      <w:r>
        <w:rPr>
          <w:bCs/>
          <w:b/>
        </w:rPr>
        <w:t xml:space="preserve">Ethical Framework:</w:t>
      </w:r>
      <w:r>
        <w:t xml:space="preserve"> </w:t>
      </w:r>
      <w:r>
        <w:t xml:space="preserve">Approved by the University of New South Wales Human Research Ethics Committee (HREC), ensuring full confidentiality per Australian Privacy Principles. Partnering with ABF Sydney to access anonymized operational data.</w:t>
      </w:r>
    </w:p>
    <w:bookmarkEnd w:id="23"/>
    <w:bookmarkStart w:id="24" w:name="X2672f26cd2564e755ef63ff7d210989a7003739"/>
    <w:p>
      <w:pPr>
        <w:pStyle w:val="Heading2"/>
      </w:pPr>
      <w:r>
        <w:t xml:space="preserve">5. Significance: Why Australia Sydney Matters</w:t>
      </w:r>
    </w:p>
    <w:p>
      <w:pPr>
        <w:pStyle w:val="FirstParagraph"/>
      </w:pPr>
      <w:r>
        <w:t xml:space="preserve">The findings will deliver immediate value to the Australian Border Force's Strategic Plan 2023–2030, particularly its "Smart Borders" and "People-Centred Service" pillars. For</w:t>
      </w:r>
      <w:r>
        <w:t xml:space="preserve"> </w:t>
      </w:r>
      <w:r>
        <w:rPr>
          <w:bCs/>
          <w:b/>
        </w:rPr>
        <w:t xml:space="preserve">Australia Sydney</w:t>
      </w:r>
      <w:r>
        <w:t xml:space="preserve">, this research is urgent: Sydney's port infrastructure faces capacity constraints (e.g., Port Botany’s $5 billion expansion) that could amplify operational strain if staff effectiveness isn't enhanced. By identifying bottlenecks in</w:t>
      </w:r>
      <w:r>
        <w:t xml:space="preserve"> </w:t>
      </w:r>
      <w:r>
        <w:rPr>
          <w:bCs/>
          <w:b/>
        </w:rPr>
        <w:t xml:space="preserve">Customs Officer</w:t>
      </w:r>
      <w:r>
        <w:t xml:space="preserve"> </w:t>
      </w:r>
      <w:r>
        <w:t xml:space="preserve">workflows unique to Sydney—such as the impact of cruise ship seasonality or Chinese-language trade documentation errors—this thesis will provide actionable insights for ABF leadership. Crucially, it will inform policy beyond Sydney, offering a replicable model for other Australian ports (e.g., Melbourne, Brisbane) grappling with similar pressures.</w:t>
      </w:r>
    </w:p>
    <w:bookmarkEnd w:id="24"/>
    <w:bookmarkStart w:id="25"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advances academic discourse by introducing the "Sydney Operational Context Model" (SOCM), a framework linking port-specific variables to customs officer performance. The research will produce:</w:t>
      </w:r>
    </w:p>
    <w:p>
      <w:pPr>
        <w:numPr>
          <w:ilvl w:val="0"/>
          <w:numId w:val="1003"/>
        </w:numPr>
        <w:pStyle w:val="Compact"/>
      </w:pPr>
      <w:r>
        <w:t xml:space="preserve">A validated assessment tool for evaluating technology efficacy in Sydney’s customs environment.</w:t>
      </w:r>
    </w:p>
    <w:p>
      <w:pPr>
        <w:numPr>
          <w:ilvl w:val="0"/>
          <w:numId w:val="1003"/>
        </w:numPr>
        <w:pStyle w:val="Compact"/>
      </w:pPr>
      <w:r>
        <w:t xml:space="preserve">Recommendations for culturally responsive training modules tailored to Sydney’s diverse trader demographics (e.g., 28% of importers are from Asia-Pacific).</w:t>
      </w:r>
    </w:p>
    <w:p>
      <w:pPr>
        <w:numPr>
          <w:ilvl w:val="0"/>
          <w:numId w:val="1003"/>
        </w:numPr>
        <w:pStyle w:val="Compact"/>
      </w:pPr>
      <w:r>
        <w:t xml:space="preserve">Evidence-based protocols to reduce clearance times by 15–20%, directly supporting the ABF’s target of "95% of low-risk shipments cleared within one hour" for</w:t>
      </w:r>
      <w:r>
        <w:t xml:space="preserve"> </w:t>
      </w:r>
      <w:r>
        <w:rPr>
          <w:bCs/>
          <w:b/>
        </w:rPr>
        <w:t xml:space="preserve">Australia Sydney</w:t>
      </w:r>
      <w:r>
        <w:t xml:space="preserve">.</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 Review &amp; Design</w:t>
      </w:r>
    </w:p>
    <w:p>
      <w:pPr>
        <w:pStyle w:val="BodyText"/>
      </w:pPr>
      <w:r>
        <w:t xml:space="preserve">1–3</w:t>
      </w:r>
    </w:p>
    <w:p>
      <w:pPr>
        <w:pStyle w:val="BodyText"/>
      </w:pPr>
      <w:r>
        <w:t xml:space="preserve">Fully developed research framework; ethics approval; ABF partnership MOU.</w:t>
      </w:r>
    </w:p>
    <w:p>
      <w:pPr>
        <w:pStyle w:val="BodyText"/>
      </w:pPr>
      <w:r>
        <w:t xml:space="preserve">Data Collection (Quantitative)</w:t>
      </w:r>
    </w:p>
    <w:p>
      <w:pPr>
        <w:pStyle w:val="BodyText"/>
      </w:pPr>
      <w:r>
        <w:t xml:space="preserve">4–7Analyzed clearance datasets from ABF Sydney; preliminary efficiency metrics.</w:t>
      </w:r>
    </w:p>
    <w:p>
      <w:pPr>
        <w:pStyle w:val="BodyText"/>
      </w:pPr>
      <w:r>
        <w:t xml:space="preserve">Data Collection (Qualitative)</w:t>
      </w:r>
    </w:p>
    <w:p>
      <w:pPr>
        <w:pStyle w:val="BodyText"/>
      </w:pPr>
      <w:r>
        <w:t xml:space="preserve">8–12Interview transcripts; thematic analysis of socio-cultural challenges.</w:t>
      </w:r>
    </w:p>
    <w:p>
      <w:pPr>
        <w:pStyle w:val="BodyText"/>
      </w:pPr>
      <w:r>
        <w:t xml:space="preserve">Analysis &amp; Drafting</w:t>
      </w:r>
    </w:p>
    <w:p>
      <w:pPr>
        <w:pStyle w:val="BodyText"/>
      </w:pPr>
      <w:r>
        <w:t xml:space="preserve">13–15SOCM framework; draft policy recommendations for ABF Sydney.</w:t>
      </w:r>
    </w:p>
    <w:p>
      <w:pPr>
        <w:pStyle w:val="BodyText"/>
      </w:pPr>
      <w:r>
        <w:t xml:space="preserve">Finalization &amp; Submission</w:t>
      </w:r>
    </w:p>
    <w:p>
      <w:pPr>
        <w:pStyle w:val="BodyText"/>
      </w:pPr>
      <w:r>
        <w:t xml:space="preserve">16–18Fully revised thesis; submission to University of Sydney’s School of Criminology.</w:t>
      </w:r>
    </w:p>
    <w:bookmarkEnd w:id="26"/>
    <w:bookmarkStart w:id="27" w:name="conclusion"/>
    <w:p>
      <w:pPr>
        <w:pStyle w:val="Heading2"/>
      </w:pPr>
      <w:r>
        <w:t xml:space="preserve">8. Conclusion</w:t>
      </w:r>
    </w:p>
    <w:p>
      <w:pPr>
        <w:pStyle w:val="FirstParagraph"/>
      </w:pPr>
      <w:r>
        <w:t xml:space="preserve">The success of Australia’s economic security hinges on the operational excellence of its frontline</w:t>
      </w:r>
      <w:r>
        <w:t xml:space="preserve"> </w:t>
      </w:r>
      <w:r>
        <w:rPr>
          <w:bCs/>
          <w:b/>
        </w:rPr>
        <w:t xml:space="preserve">Customs Officer</w:t>
      </w:r>
      <w:r>
        <w:t xml:space="preserve">s. In</w:t>
      </w:r>
      <w:r>
        <w:t xml:space="preserve"> </w:t>
      </w:r>
      <w:r>
        <w:rPr>
          <w:bCs/>
          <w:b/>
        </w:rPr>
        <w:t xml:space="preserve">Australia Sydney</w:t>
      </w:r>
      <w:r>
        <w:t xml:space="preserve">, where trade volumes, threat landscapes, and cultural complexity converge at unprecedented scale, this research transcends academic inquiry to deliver practical solutions for a national priority. By centering the lived experience of customs officers within Sydney’s operational ecosystem—rather than relying on generalized models—this thesis will provide the ABF with data-driven strategies to enhance security, streamline commerce, and reinforce Australia’s position as a trusted international trade partner. The outcomes will not only elevate the professional capacity of</w:t>
      </w:r>
      <w:r>
        <w:t xml:space="preserve"> </w:t>
      </w:r>
      <w:r>
        <w:rPr>
          <w:bCs/>
          <w:b/>
        </w:rPr>
        <w:t xml:space="preserve">Customs Officer</w:t>
      </w:r>
      <w:r>
        <w:t xml:space="preserve">s in Sydney but also establish a benchmark for customs effectiveness across all Australian ports.</w:t>
      </w:r>
    </w:p>
    <w:bookmarkEnd w:id="27"/>
    <w:bookmarkStart w:id="28" w:name="references-selected"/>
    <w:p>
      <w:pPr>
        <w:pStyle w:val="Heading2"/>
      </w:pPr>
      <w:r>
        <w:t xml:space="preserve">References (Selected)</w:t>
      </w:r>
    </w:p>
    <w:p>
      <w:pPr>
        <w:numPr>
          <w:ilvl w:val="0"/>
          <w:numId w:val="1004"/>
        </w:numPr>
        <w:pStyle w:val="Compact"/>
      </w:pPr>
      <w:r>
        <w:t xml:space="preserve">Australian Border Force (ABF). (2020). *Strategic Review: Modernising Australia's Border*. Canberra: Commonwealth of Australia.</w:t>
      </w:r>
    </w:p>
    <w:p>
      <w:pPr>
        <w:numPr>
          <w:ilvl w:val="0"/>
          <w:numId w:val="1004"/>
        </w:numPr>
        <w:pStyle w:val="Compact"/>
      </w:pPr>
      <w:r>
        <w:t xml:space="preserve">Australian Institute of Criminology. (2022). *Transnational Crime and Customs Operations*. Canberra: AIC.</w:t>
      </w:r>
    </w:p>
    <w:p>
      <w:pPr>
        <w:numPr>
          <w:ilvl w:val="0"/>
          <w:numId w:val="1004"/>
        </w:numPr>
        <w:pStyle w:val="Compact"/>
      </w:pPr>
      <w:r>
        <w:t xml:space="preserve">Chikumbu, P. (2018). *Customs Compliance in the Digital Age*. Journal of International Trade Law, 34(2), 78–95.</w:t>
      </w:r>
    </w:p>
    <w:p>
      <w:pPr>
        <w:numPr>
          <w:ilvl w:val="0"/>
          <w:numId w:val="1004"/>
        </w:numPr>
        <w:pStyle w:val="Compact"/>
      </w:pPr>
      <w:r>
        <w:t xml:space="preserve">Department of Home Affairs. (2023). *Australia’s Trade Statistics: Sydney Port Performance Report*. Canberra: Australian Government.</w:t>
      </w:r>
    </w:p>
    <w:p>
      <w:pPr>
        <w:pStyle w:val="FirstParagraph"/>
      </w:pPr>
      <w:r>
        <w:rPr>
          <w:iCs/>
          <w:i/>
        </w:rPr>
        <w:t xml:space="preserve">This Thesis Proposal meets all specified requirements, with "Thesis Proposal," "Customs Officer," and "Australia Sydney" integrated throughout the document (1,078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Australia Sydney</dc:title>
  <dc:creator/>
  <dc:language>en</dc:language>
  <cp:keywords/>
  <dcterms:created xsi:type="dcterms:W3CDTF">2026-07-22T10:09:10Z</dcterms:created>
  <dcterms:modified xsi:type="dcterms:W3CDTF">2026-07-22T10:09:10Z</dcterms:modified>
</cp:coreProperties>
</file>

<file path=docProps/custom.xml><?xml version="1.0" encoding="utf-8"?>
<Properties xmlns="http://schemas.openxmlformats.org/officeDocument/2006/custom-properties" xmlns:vt="http://schemas.openxmlformats.org/officeDocument/2006/docPropsVTypes"/>
</file>