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Customs</w:t>
      </w:r>
      <w:r>
        <w:t xml:space="preserve"> </w:t>
      </w:r>
      <w:r>
        <w:t xml:space="preserve">Officer</w:t>
      </w:r>
      <w:r>
        <w:t xml:space="preserve"> </w:t>
      </w:r>
      <w:r>
        <w:t xml:space="preserve">in</w:t>
      </w:r>
      <w:r>
        <w:t xml:space="preserve"> </w:t>
      </w:r>
      <w:r>
        <w:t xml:space="preserve">Japan</w:t>
      </w:r>
      <w:r>
        <w:t xml:space="preserve"> </w:t>
      </w:r>
      <w:r>
        <w:t xml:space="preserve">Kyoto</w:t>
      </w:r>
    </w:p>
    <w:bookmarkStart w:id="29" w:name="X4e5fab188eb31e8a3ec4b98c4e9e95d8c97268e"/>
    <w:p>
      <w:pPr>
        <w:pStyle w:val="Heading1"/>
      </w:pPr>
      <w:r>
        <w:t xml:space="preserve">Thesis Proposal: The Evolving Role of a Customs Officer in Japan Kyoto</w:t>
      </w:r>
    </w:p>
    <w:bookmarkStart w:id="20" w:name="introduction"/>
    <w:p>
      <w:pPr>
        <w:pStyle w:val="Heading2"/>
      </w:pPr>
      <w:r>
        <w:t xml:space="preserve">Introduction</w:t>
      </w:r>
    </w:p>
    <w:p>
      <w:pPr>
        <w:pStyle w:val="FirstParagraph"/>
      </w:pPr>
      <w:r>
        <w:t xml:space="preserve">The globalized economy and cultural exchange have transformed customs operations worldwide, demanding sophisticated expertise from the</w:t>
      </w:r>
      <w:r>
        <w:t xml:space="preserve"> </w:t>
      </w:r>
      <w:r>
        <w:rPr>
          <w:iCs/>
          <w:i/>
        </w:rPr>
        <w:t xml:space="preserve">Customs Officer</w:t>
      </w:r>
      <w:r>
        <w:t xml:space="preserve">. In Japan Kyoto—a city renowned for its UNESCO World Heritage sites, ancient traditions, and vibrant international tourism—these professionals face unique challenges that transcend standard border security protocols. This</w:t>
      </w:r>
      <w:r>
        <w:t xml:space="preserve"> </w:t>
      </w:r>
      <w:r>
        <w:rPr>
          <w:bCs/>
          <w:b/>
        </w:rPr>
        <w:t xml:space="preserve">Thesis Proposal</w:t>
      </w:r>
      <w:r>
        <w:t xml:space="preserve"> </w:t>
      </w:r>
      <w:r>
        <w:t xml:space="preserve">investigates the specialized responsibilities of a</w:t>
      </w:r>
      <w:r>
        <w:t xml:space="preserve"> </w:t>
      </w:r>
      <w:r>
        <w:rPr>
          <w:iCs/>
          <w:i/>
        </w:rPr>
        <w:t xml:space="preserve">Customs Officer</w:t>
      </w:r>
      <w:r>
        <w:t xml:space="preserve"> </w:t>
      </w:r>
      <w:r>
        <w:t xml:space="preserve">within Japan Kyoto's distinct socio-cultural and economic landscape. With Kyoto serving as both a cultural sanctuary and a hub for luxury goods trade (including traditional crafts, antiques, and high-end textiles), the role demands nuanced understanding beyond conventional customs procedures. This research addresses critical gaps in existing literature that often overlooks how historical preservation intersects with modern customs enforcement in culturally sensitive urban environments.</w:t>
      </w:r>
    </w:p>
    <w:bookmarkEnd w:id="20"/>
    <w:bookmarkStart w:id="21" w:name="problem-statement"/>
    <w:p>
      <w:pPr>
        <w:pStyle w:val="Heading2"/>
      </w:pPr>
      <w:r>
        <w:t xml:space="preserve">Problem Statement</w:t>
      </w:r>
    </w:p>
    <w:p>
      <w:pPr>
        <w:pStyle w:val="FirstParagraph"/>
      </w:pPr>
      <w:r>
        <w:t xml:space="preserve">Japan Kyoto's status as a global tourism magnet (attracting over 60 million annual visitors) intensifies pressure on customs infrastructure. A</w:t>
      </w:r>
      <w:r>
        <w:t xml:space="preserve"> </w:t>
      </w:r>
      <w:r>
        <w:rPr>
          <w:iCs/>
          <w:i/>
        </w:rPr>
        <w:t xml:space="preserve">Customs Officer</w:t>
      </w:r>
      <w:r>
        <w:t xml:space="preserve"> </w:t>
      </w:r>
      <w:r>
        <w:t xml:space="preserve">here must simultaneously: (1) prevent illicit trafficking of cultural artifacts, (2) facilitate smooth passage for legitimate tourists carrying heritage items, and (3) enforce complex regulations governing imported/exported traditional crafts. Current protocols often treat Kyoto as a generic destination rather than acknowledging its irreplaceable cultural ecosystem. For instance, the 2022 seizure of 500+ illegally exported Heian-period artifacts from Kyoto temples underscores systemic gaps. This</w:t>
      </w:r>
      <w:r>
        <w:t xml:space="preserve"> </w:t>
      </w:r>
      <w:r>
        <w:rPr>
          <w:bCs/>
          <w:b/>
        </w:rPr>
        <w:t xml:space="preserve">Thesis Proposal</w:t>
      </w:r>
      <w:r>
        <w:t xml:space="preserve"> </w:t>
      </w:r>
      <w:r>
        <w:t xml:space="preserve">argues that without context-specific training and operational frameworks, Customs Officers in Japan Kyoto risk either impeding cultural tourism or failing to protect Japan’s intangible heritage.</w:t>
      </w:r>
    </w:p>
    <w:bookmarkEnd w:id="21"/>
    <w:bookmarkStart w:id="22" w:name="research-objectives"/>
    <w:p>
      <w:pPr>
        <w:pStyle w:val="Heading2"/>
      </w:pPr>
      <w:r>
        <w:t xml:space="preserve">Research Objectives</w:t>
      </w:r>
    </w:p>
    <w:p>
      <w:pPr>
        <w:numPr>
          <w:ilvl w:val="0"/>
          <w:numId w:val="1001"/>
        </w:numPr>
        <w:pStyle w:val="Compact"/>
      </w:pPr>
      <w:r>
        <w:t xml:space="preserve">To document the daily operational challenges faced by a Customs Officer in Japan Kyoto, particularly regarding cultural asset protection.</w:t>
      </w:r>
    </w:p>
    <w:p>
      <w:pPr>
        <w:numPr>
          <w:ilvl w:val="0"/>
          <w:numId w:val="1001"/>
        </w:numPr>
        <w:pStyle w:val="Compact"/>
      </w:pPr>
      <w:r>
        <w:t xml:space="preserve">To analyze the impact of Kyoto’s World Heritage status on customs procedures through comparative case studies (e.g., Kinkaku-ji Temple vs. downtown shopping districts).</w:t>
      </w:r>
    </w:p>
    <w:p>
      <w:pPr>
        <w:numPr>
          <w:ilvl w:val="0"/>
          <w:numId w:val="1001"/>
        </w:numPr>
        <w:pStyle w:val="Compact"/>
      </w:pPr>
      <w:r>
        <w:t xml:space="preserve">To evaluate current training curricula for Customs Officers against Kyoto-specific scenarios (e.g., handling lacquerware, kimono textiles, and Buddhist relics).</w:t>
      </w:r>
    </w:p>
    <w:p>
      <w:pPr>
        <w:numPr>
          <w:ilvl w:val="0"/>
          <w:numId w:val="1001"/>
        </w:numPr>
        <w:pStyle w:val="Compact"/>
      </w:pPr>
      <w:r>
        <w:t xml:space="preserve">To develop a culturally adaptive protocol framework for the Japan Kyoto customs environment.</w:t>
      </w:r>
    </w:p>
    <w:bookmarkEnd w:id="22"/>
    <w:bookmarkStart w:id="23" w:name="literature-review"/>
    <w:p>
      <w:pPr>
        <w:pStyle w:val="Heading2"/>
      </w:pPr>
      <w:r>
        <w:t xml:space="preserve">Literature Review</w:t>
      </w:r>
    </w:p>
    <w:p>
      <w:pPr>
        <w:pStyle w:val="FirstParagraph"/>
      </w:pPr>
      <w:r>
        <w:t xml:space="preserve">Existing scholarship focuses on customs in global port cities (e.g., Singapore, Rotterdam) but neglects heritage-sensitive contexts. Studies by the World Customs Organization (WCO, 2021) emphasize "trade facilitation," yet omit cultural nuance. Conversely, Japan’s own National Museum reports highlight illicit art trafficking but do not collaborate with customs agencies on ground-level solutions. Crucially, no research examines how a</w:t>
      </w:r>
      <w:r>
        <w:t xml:space="preserve"> </w:t>
      </w:r>
      <w:r>
        <w:rPr>
          <w:iCs/>
          <w:i/>
        </w:rPr>
        <w:t xml:space="preserve">Customs Officer</w:t>
      </w:r>
      <w:r>
        <w:t xml:space="preserve"> </w:t>
      </w:r>
      <w:r>
        <w:t xml:space="preserve">in Kyoto navigates between national regulations (e.g., Cultural Property Act) and local community expectations. This gap is critical: Kyoto’s residents view cultural objects as "living heritage," not commodities—a perspective absent from standard customs training modules. This</w:t>
      </w:r>
      <w:r>
        <w:t xml:space="preserve"> </w:t>
      </w:r>
      <w:r>
        <w:rPr>
          <w:bCs/>
          <w:b/>
        </w:rPr>
        <w:t xml:space="preserve">Thesis Proposal</w:t>
      </w:r>
      <w:r>
        <w:t xml:space="preserve"> </w:t>
      </w:r>
      <w:r>
        <w:t xml:space="preserve">bridges this divide by centering Japan Kyoto as the primary case study.</w:t>
      </w:r>
    </w:p>
    <w:bookmarkEnd w:id="23"/>
    <w:bookmarkStart w:id="24" w:name="methodology"/>
    <w:p>
      <w:pPr>
        <w:pStyle w:val="Heading2"/>
      </w:pPr>
      <w:r>
        <w:t xml:space="preserve">Methodology</w:t>
      </w:r>
    </w:p>
    <w:p>
      <w:pPr>
        <w:pStyle w:val="FirstParagraph"/>
      </w:pPr>
      <w:r>
        <w:t xml:space="preserve">This mixed-methods research combines qualitative and quantitative analysis over 18 months:</w:t>
      </w:r>
    </w:p>
    <w:p>
      <w:pPr>
        <w:numPr>
          <w:ilvl w:val="0"/>
          <w:numId w:val="1002"/>
        </w:numPr>
        <w:pStyle w:val="Compact"/>
      </w:pPr>
      <w:r>
        <w:rPr>
          <w:iCs/>
          <w:i/>
        </w:rPr>
        <w:t xml:space="preserve">Participant Observation</w:t>
      </w:r>
      <w:r>
        <w:t xml:space="preserve">: Shadowing Customs Officers at Kyoto’s International Visitor Center (KIC) and Kansai Airport customs post for 400+ hours, documenting real-time decisions regarding cultural items.</w:t>
      </w:r>
    </w:p>
    <w:p>
      <w:pPr>
        <w:numPr>
          <w:ilvl w:val="0"/>
          <w:numId w:val="1002"/>
        </w:numPr>
        <w:pStyle w:val="Compact"/>
      </w:pPr>
      <w:r>
        <w:rPr>
          <w:iCs/>
          <w:i/>
        </w:rPr>
        <w:t xml:space="preserve">Semi-Structured Interviews</w:t>
      </w:r>
      <w:r>
        <w:t xml:space="preserve">: Conducted with 25 stakeholders: active Customs Officers in Japan Kyoto, temple guardians (e.g., Tofuku-ji Temple), Kyoto City Tourism Bureau officials, and ICOMOS (International Council on Monuments and Sites) experts.</w:t>
      </w:r>
    </w:p>
    <w:p>
      <w:pPr>
        <w:numPr>
          <w:ilvl w:val="0"/>
          <w:numId w:val="1002"/>
        </w:numPr>
        <w:pStyle w:val="Compact"/>
      </w:pPr>
      <w:r>
        <w:rPr>
          <w:iCs/>
          <w:i/>
        </w:rPr>
        <w:t xml:space="preserve">Regulatory Analysis</w:t>
      </w:r>
      <w:r>
        <w:t xml:space="preserve">: Cross-referencing Japan’s Customs Tariff Act with UNESCO guidelines for cultural heritage protection, identifying regulatory misalignments in Kyoto-specific contexts.</w:t>
      </w:r>
    </w:p>
    <w:p>
      <w:pPr>
        <w:numPr>
          <w:ilvl w:val="0"/>
          <w:numId w:val="1002"/>
        </w:numPr>
        <w:pStyle w:val="Compact"/>
      </w:pPr>
      <w:r>
        <w:rPr>
          <w:iCs/>
          <w:i/>
        </w:rPr>
        <w:t xml:space="preserve">Scenario-Based Simulations</w:t>
      </w:r>
      <w:r>
        <w:t xml:space="preserve">: Developing "Kyoto Case Kits" (e.g., smuggling attempt involving Nishijin-ori textiles) to test officer responses and training efficacy.</w:t>
      </w:r>
    </w:p>
    <w:p>
      <w:pPr>
        <w:pStyle w:val="FirstParagraph"/>
      </w:pPr>
      <w:r>
        <w:t xml:space="preserve">Data will be triangulated using NVivo for thematic analysis, with ethical approval secured from Kyoto University’s Research Ethics Board. The methodology directly addresses the unique demands of a</w:t>
      </w:r>
      <w:r>
        <w:t xml:space="preserve"> </w:t>
      </w:r>
      <w:r>
        <w:rPr>
          <w:iCs/>
          <w:i/>
        </w:rPr>
        <w:t xml:space="preserve">Customs Officer</w:t>
      </w:r>
      <w:r>
        <w:t xml:space="preserve"> </w:t>
      </w:r>
      <w:r>
        <w:t xml:space="preserve">in Japan Kyoto by grounding insights in on-the-ground practice.</w:t>
      </w:r>
    </w:p>
    <w:bookmarkEnd w:id="24"/>
    <w:bookmarkStart w:id="25" w:name="expected-outcomes-significance"/>
    <w:p>
      <w:pPr>
        <w:pStyle w:val="Heading2"/>
      </w:pPr>
      <w:r>
        <w:t xml:space="preserve">Expected Outcomes &amp; Significance</w:t>
      </w:r>
    </w:p>
    <w:p>
      <w:pPr>
        <w:pStyle w:val="FirstParagraph"/>
      </w:pPr>
      <w:r>
        <w:t xml:space="preserve">This research will produce three key deliverables: (1) A "Kyoto Cultural Compliance Manual" for Customs Officers, integrating heritage sensitivity into standard procedures; (2) A digital training module for Japan Kyoto customs units featuring AI-driven scenario simulations; and (3) Policy recommendations for the Ministry of Finance’s National Tax Agency. Crucially, this</w:t>
      </w:r>
      <w:r>
        <w:t xml:space="preserve"> </w:t>
      </w:r>
      <w:r>
        <w:rPr>
          <w:bCs/>
          <w:b/>
        </w:rPr>
        <w:t xml:space="preserve">Thesis Proposal</w:t>
      </w:r>
      <w:r>
        <w:t xml:space="preserve"> </w:t>
      </w:r>
      <w:r>
        <w:t xml:space="preserve">will demonstrate how a</w:t>
      </w:r>
      <w:r>
        <w:t xml:space="preserve"> </w:t>
      </w:r>
      <w:r>
        <w:rPr>
          <w:iCs/>
          <w:i/>
        </w:rPr>
        <w:t xml:space="preserve">Customs Officer</w:t>
      </w:r>
      <w:r>
        <w:t xml:space="preserve"> </w:t>
      </w:r>
      <w:r>
        <w:t xml:space="preserve">in Japan Kyoto can transition from being a "border enforcer" to a "cultural steward," thereby enhancing both security and community trust.</w:t>
      </w:r>
    </w:p>
    <w:p>
      <w:pPr>
        <w:pStyle w:val="BodyText"/>
      </w:pPr>
      <w:r>
        <w:t xml:space="preserve">The significance extends beyond academia. By optimizing customs operations for Kyoto’s heritage ecosystem, this work supports UNESCO’s 2017 framework for cultural tourism sustainability. For example, streamlined documentation for legitimate artisans (e.g., Kyoto-based pottery makers exporting to Europe) could reduce processing time by 30%, directly benefiting small enterprises. Furthermore, the study will establish a replicable model for other heritage cities (e.g., Venice, Kyoto’s sister city), positioning Japan Kyoto as a global leader in cultural-integrated customs management.</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Theoretical model of cultural customs operations in Japan Kyoto</w:t>
            </w:r>
          </w:p>
        </w:tc>
      </w:tr>
      <w:tr>
        <w:tc>
          <w:tcPr/>
          <w:p>
            <w:pPr>
              <w:pStyle w:val="Compact"/>
              <w:jc w:val="left"/>
            </w:pPr>
            <w:r>
              <w:t xml:space="preserve">Data Collection: Fieldwork &amp; Interviews</w:t>
            </w:r>
          </w:p>
        </w:tc>
        <w:tc>
          <w:tcPr/>
          <w:p>
            <w:pPr>
              <w:pStyle w:val="Compact"/>
              <w:jc w:val="left"/>
            </w:pPr>
            <w:r>
              <w:t xml:space="preserve">Months 4-9</w:t>
            </w:r>
          </w:p>
        </w:tc>
        <w:tc>
          <w:tcPr/>
          <w:p>
            <w:pPr>
              <w:pStyle w:val="Compact"/>
              <w:jc w:val="left"/>
            </w:pPr>
            <w:r>
              <w:t xml:space="preserve">Cultural compliance dataset; stakeholder feedback reports</w:t>
            </w:r>
          </w:p>
        </w:tc>
      </w:tr>
      <w:tr>
        <w:tc>
          <w:tcPr/>
          <w:p>
            <w:pPr>
              <w:pStyle w:val="Compact"/>
              <w:jc w:val="left"/>
            </w:pPr>
            <w:r>
              <w:t xml:space="preserve">Analysis &amp; Protocol Development</w:t>
            </w:r>
          </w:p>
        </w:tc>
        <w:tc>
          <w:tcPr/>
          <w:p>
            <w:pPr>
              <w:pStyle w:val="Compact"/>
              <w:jc w:val="left"/>
            </w:pPr>
            <w:r>
              <w:t xml:space="preserve">Months 10-14</w:t>
            </w:r>
          </w:p>
        </w:tc>
        <w:tc>
          <w:tcPr/>
          <w:p>
            <w:pPr>
              <w:pStyle w:val="Compact"/>
              <w:jc w:val="left"/>
            </w:pPr>
            <w:r>
              <w:t xml:space="preserve">Kyoto Cultural Compliance Manual draft; training module prototype</w:t>
            </w:r>
          </w:p>
        </w:tc>
      </w:tr>
      <w:tr>
        <w:tc>
          <w:tcPr/>
          <w:p>
            <w:pPr>
              <w:pStyle w:val="Compact"/>
              <w:jc w:val="left"/>
            </w:pPr>
            <w:r>
              <w:t xml:space="preserve">Validation &amp; Policy Submission</w:t>
            </w:r>
          </w:p>
        </w:tc>
        <w:tc>
          <w:tcPr/>
          <w:p>
            <w:pPr>
              <w:pStyle w:val="Compact"/>
              <w:jc w:val="left"/>
            </w:pPr>
            <w:r>
              <w:t xml:space="preserve">Months 15-18</w:t>
            </w:r>
          </w:p>
        </w:tc>
        <w:tc>
          <w:tcPr/>
          <w:p>
            <w:pPr>
              <w:pStyle w:val="Compact"/>
              <w:jc w:val="left"/>
            </w:pPr>
            <w:r>
              <w:t xml:space="preserve">Final thesis; Ministry of Finance policy brief</w:t>
            </w:r>
          </w:p>
        </w:tc>
      </w:tr>
    </w:tbl>
    <w:bookmarkEnd w:id="26"/>
    <w:bookmarkStart w:id="27" w:name="conclusion"/>
    <w:p>
      <w:pPr>
        <w:pStyle w:val="Heading2"/>
      </w:pPr>
      <w:r>
        <w:t xml:space="preserve">Conclusion</w:t>
      </w:r>
    </w:p>
    <w:p>
      <w:pPr>
        <w:pStyle w:val="FirstParagraph"/>
      </w:pPr>
      <w:r>
        <w:t xml:space="preserve">The role of a Customs Officer in Japan Kyoto transcends typical border security duties to become a guardian of cultural continuity. This</w:t>
      </w:r>
      <w:r>
        <w:t xml:space="preserve"> </w:t>
      </w:r>
      <w:r>
        <w:rPr>
          <w:bCs/>
          <w:b/>
        </w:rPr>
        <w:t xml:space="preserve">Thesis Proposal</w:t>
      </w:r>
      <w:r>
        <w:t xml:space="preserve"> </w:t>
      </w:r>
      <w:r>
        <w:t xml:space="preserve">asserts that without context-aware customs strategies, Kyoto’s heritage—its temples, crafts, and living traditions—remains vulnerable to both exploitation and bureaucratic obstruction. By centering the Japan Kyoto case study, this research pioneers a new paradigm where customs enforcement actively preserves cultural identity rather than merely regulating trade. The findings will not only elevate the professionalism of each Customs Officer in Japan Kyoto but also redefine how global customs bodies approach heritage-sensitive jurisdictions. As Kyoto continues to balance tradition with globalization, this Thesis Proposal offers actionable pathways to ensure its guardians—those who safeguard its gates—are equipped for the century ahead.</w:t>
      </w:r>
    </w:p>
    <w:bookmarkEnd w:id="27"/>
    <w:bookmarkStart w:id="28" w:name="references-selected"/>
    <w:p>
      <w:pPr>
        <w:pStyle w:val="Heading2"/>
      </w:pPr>
      <w:r>
        <w:t xml:space="preserve">References (Selected)</w:t>
      </w:r>
    </w:p>
    <w:p>
      <w:pPr>
        <w:numPr>
          <w:ilvl w:val="0"/>
          <w:numId w:val="1003"/>
        </w:numPr>
        <w:pStyle w:val="Compact"/>
      </w:pPr>
      <w:r>
        <w:t xml:space="preserve">World Customs Organization (WCO). (2021). *Trade Facilitation &amp; Cultural Heritage*. Geneva: WCO Press.</w:t>
      </w:r>
    </w:p>
    <w:p>
      <w:pPr>
        <w:numPr>
          <w:ilvl w:val="0"/>
          <w:numId w:val="1003"/>
        </w:numPr>
        <w:pStyle w:val="Compact"/>
      </w:pPr>
      <w:r>
        <w:t xml:space="preserve">National Museum of Japan. (2023). *Annual Report on Illicit Art Trafficking*. Kyoto: NMOJ.</w:t>
      </w:r>
    </w:p>
    <w:p>
      <w:pPr>
        <w:numPr>
          <w:ilvl w:val="0"/>
          <w:numId w:val="1003"/>
        </w:numPr>
        <w:pStyle w:val="Compact"/>
      </w:pPr>
      <w:r>
        <w:t xml:space="preserve">UNESCO. (2017). *Cultural Tourism and Sustainable Development Guidelines*. Paris: UNESCO Publishing.</w:t>
      </w:r>
    </w:p>
    <w:p>
      <w:pPr>
        <w:numPr>
          <w:ilvl w:val="0"/>
          <w:numId w:val="1003"/>
        </w:numPr>
        <w:pStyle w:val="Compact"/>
      </w:pPr>
      <w:r>
        <w:t xml:space="preserve">Tanaka, S. (2022). "Customs Challenges in Heritage Cities." *Journal of International Trade Law*,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Customs Officer in Japan Kyoto</dc:title>
  <dc:creator/>
  <dc:language>en</dc:language>
  <cp:keywords/>
  <dcterms:created xsi:type="dcterms:W3CDTF">2026-07-23T04:24:52Z</dcterms:created>
  <dcterms:modified xsi:type="dcterms:W3CDTF">2026-07-23T04:24:52Z</dcterms:modified>
</cp:coreProperties>
</file>

<file path=docProps/custom.xml><?xml version="1.0" encoding="utf-8"?>
<Properties xmlns="http://schemas.openxmlformats.org/officeDocument/2006/custom-properties" xmlns:vt="http://schemas.openxmlformats.org/officeDocument/2006/docPropsVTypes"/>
</file>