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Myanmar</w:t>
      </w:r>
      <w:r>
        <w:t xml:space="preserve"> </w:t>
      </w:r>
      <w:r>
        <w:t xml:space="preserve">Yangon</w:t>
      </w:r>
    </w:p>
    <w:bookmarkStart w:id="29" w:name="Xd08d7d46a6d8de7eebd929072d7727b038ce910"/>
    <w:p>
      <w:pPr>
        <w:pStyle w:val="Heading1"/>
      </w:pPr>
      <w:r>
        <w:t xml:space="preserve">Thesis Proposal: Enhancing Efficiency and Integrity of the Customs Officer Role in Myanmar Yangon</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is pivotal to Myanmar's economic development, particularly within the bustling port city of Yangon. As Myanmar's primary commercial hub and gateway for international trade, Yangon handles over 90% of the nation’s import and export activities through its major ports, including the Yangon Port and Hlaingthaya Free Trade Zone. However, persistent challenges such as bureaucratic inefficiencies, corruption risks, inadequate technological infrastructure, and outdated procedures undermine the effectiveness of</w:t>
      </w:r>
      <w:r>
        <w:t xml:space="preserve"> </w:t>
      </w:r>
      <w:r>
        <w:rPr>
          <w:bCs/>
          <w:b/>
        </w:rPr>
        <w:t xml:space="preserve">Customs Officer</w:t>
      </w:r>
      <w:r>
        <w:t xml:space="preserve"> </w:t>
      </w:r>
      <w:r>
        <w:t xml:space="preserve">operations. This</w:t>
      </w:r>
      <w:r>
        <w:t xml:space="preserve"> </w:t>
      </w:r>
      <w:r>
        <w:rPr>
          <w:bCs/>
          <w:b/>
        </w:rPr>
        <w:t xml:space="preserve">Thesis Proposal</w:t>
      </w:r>
      <w:r>
        <w:t xml:space="preserve"> </w:t>
      </w:r>
      <w:r>
        <w:t xml:space="preserve">addresses these critical issues by proposing a comprehensive framework to modernize customs processes in Myanmar Yangon, thereby enhancing revenue collection, facilitating legitimate trade, and reducing opportunities for illicit activities.</w:t>
      </w:r>
    </w:p>
    <w:bookmarkEnd w:id="20"/>
    <w:bookmarkStart w:id="21" w:name="problem-statement"/>
    <w:p>
      <w:pPr>
        <w:pStyle w:val="Heading2"/>
      </w:pPr>
      <w:r>
        <w:t xml:space="preserve">Problem Statement</w:t>
      </w:r>
    </w:p>
    <w:p>
      <w:pPr>
        <w:pStyle w:val="FirstParagraph"/>
      </w:pPr>
      <w:r>
        <w:t xml:space="preserve">In Myanmar Yangon, the current customs system suffers from systemic bottlenecks. Long clearance times—often exceeding 7–10 days—disrupt supply chains and deter foreign investment. Corruption remains a persistent challenge, with reports indicating that informal payments to expedite processes are common among traders navigating the customs bureaucracy. Furthermore,</w:t>
      </w:r>
      <w:r>
        <w:t xml:space="preserve"> </w:t>
      </w:r>
      <w:r>
        <w:rPr>
          <w:bCs/>
          <w:b/>
        </w:rPr>
        <w:t xml:space="preserve">Customs Officer</w:t>
      </w:r>
      <w:r>
        <w:t xml:space="preserve"> </w:t>
      </w:r>
      <w:r>
        <w:t xml:space="preserve">training programs lack modern modules on digital trade platforms and anti-corruption protocols, leading to inconsistent application of regulations. These issues directly impede Myanmar's integration into regional supply chains under ASEAN agreements and hinder its goal of achieving 7% annual GDP growth by 2030. Without urgent reform, the economic potential of Yangon as a Southeast Asian trade corridor will remain unrealized.</w:t>
      </w:r>
    </w:p>
    <w:bookmarkEnd w:id="21"/>
    <w:bookmarkStart w:id="22" w:name="literature-review"/>
    <w:p>
      <w:pPr>
        <w:pStyle w:val="Heading2"/>
      </w:pPr>
      <w:r>
        <w:t xml:space="preserve">Literature Review</w:t>
      </w:r>
    </w:p>
    <w:p>
      <w:pPr>
        <w:pStyle w:val="FirstParagraph"/>
      </w:pPr>
      <w:r>
        <w:t xml:space="preserve">Existing research on customs administration in Myanmar is limited and largely descriptive. Studies by the World Bank (2021) and ASEAN Secretariat (2023) highlight Yangon’s port inefficiencies as a barrier to trade competitiveness, yet they offer minimal actionable insights for frontline</w:t>
      </w:r>
      <w:r>
        <w:t xml:space="preserve"> </w:t>
      </w:r>
      <w:r>
        <w:rPr>
          <w:bCs/>
          <w:b/>
        </w:rPr>
        <w:t xml:space="preserve">Customs Officer</w:t>
      </w:r>
      <w:r>
        <w:t xml:space="preserve"> </w:t>
      </w:r>
      <w:r>
        <w:t xml:space="preserve">deployment. International case studies from Singapore and Vietnam demonstrate that digitization (e.g., single-window systems) and ethics training reduced clearance times by 60% while increasing revenue transparency. Conversely, failed reforms in other developing economies underscore the necessity of context-specific solutions. Critically, no research has examined the operational challenges faced by</w:t>
      </w:r>
      <w:r>
        <w:t xml:space="preserve"> </w:t>
      </w:r>
      <w:r>
        <w:rPr>
          <w:bCs/>
          <w:b/>
        </w:rPr>
        <w:t xml:space="preserve">Customs Officer</w:t>
      </w:r>
      <w:r>
        <w:t xml:space="preserve">s in Myanmar Yangon through a granular lens—focusing on their daily interactions with traders, technological constraints, and institutional support gaps.</w:t>
      </w:r>
    </w:p>
    <w:bookmarkEnd w:id="22"/>
    <w:bookmarkStart w:id="23" w:name="research-objectives"/>
    <w:p>
      <w:pPr>
        <w:pStyle w:val="Heading2"/>
      </w:pPr>
      <w:r>
        <w:t xml:space="preserve">Research Objectives</w:t>
      </w:r>
    </w:p>
    <w:p>
      <w:pPr>
        <w:numPr>
          <w:ilvl w:val="0"/>
          <w:numId w:val="1001"/>
        </w:numPr>
        <w:pStyle w:val="Compact"/>
      </w:pPr>
      <w:r>
        <w:t xml:space="preserve">To analyze current procedural inefficiencies at Yangon’s customs facilities through frontline data collection from</w:t>
      </w:r>
      <w:r>
        <w:t xml:space="preserve"> </w:t>
      </w:r>
      <w:r>
        <w:rPr>
          <w:bCs/>
          <w:b/>
        </w:rPr>
        <w:t xml:space="preserve">Customs Officer</w:t>
      </w:r>
      <w:r>
        <w:t xml:space="preserve">s.</w:t>
      </w:r>
    </w:p>
    <w:p>
      <w:pPr>
        <w:numPr>
          <w:ilvl w:val="0"/>
          <w:numId w:val="1001"/>
        </w:numPr>
        <w:pStyle w:val="Compact"/>
      </w:pPr>
      <w:r>
        <w:t xml:space="preserve">To evaluate the impact of corruption risks on trade facilitation in Myanmar Yangon using quantitative and qualitative methods.</w:t>
      </w:r>
    </w:p>
    <w:p>
      <w:pPr>
        <w:numPr>
          <w:ilvl w:val="0"/>
          <w:numId w:val="1001"/>
        </w:numPr>
        <w:pStyle w:val="Compact"/>
      </w:pPr>
      <w:r>
        <w:t xml:space="preserve">To design a scalable training curriculum for</w:t>
      </w:r>
      <w:r>
        <w:t xml:space="preserve"> </w:t>
      </w:r>
      <w:r>
        <w:rPr>
          <w:bCs/>
          <w:b/>
        </w:rPr>
        <w:t xml:space="preserve">Customs Officer</w:t>
      </w:r>
      <w:r>
        <w:t xml:space="preserve">s emphasizing digital tools (e.g., ASEAN Single Window), risk-based targeting, and ethical conduct.</w:t>
      </w:r>
    </w:p>
    <w:p>
      <w:pPr>
        <w:numPr>
          <w:ilvl w:val="0"/>
          <w:numId w:val="1001"/>
        </w:numPr>
        <w:pStyle w:val="Compact"/>
      </w:pPr>
      <w:r>
        <w:t xml:space="preserve">To propose policy interventions for the Myanmar Directorate of Customs, prioritizing Yangon’s operational realities.</w:t>
      </w:r>
    </w:p>
    <w:bookmarkEnd w:id="23"/>
    <w:bookmarkStart w:id="24" w:name="methodology"/>
    <w:p>
      <w:pPr>
        <w:pStyle w:val="Heading2"/>
      </w:pPr>
      <w:r>
        <w:t xml:space="preserve">Methodology</w:t>
      </w:r>
    </w:p>
    <w:p>
      <w:pPr>
        <w:pStyle w:val="FirstParagraph"/>
      </w:pPr>
      <w:r>
        <w:t xml:space="preserve">This mixed-methods study will be conducted in three phases across Myanmar Yangon:</w:t>
      </w:r>
    </w:p>
    <w:p>
      <w:pPr>
        <w:numPr>
          <w:ilvl w:val="0"/>
          <w:numId w:val="1002"/>
        </w:numPr>
        <w:pStyle w:val="Compact"/>
      </w:pPr>
      <w:r>
        <w:rPr>
          <w:bCs/>
          <w:b/>
        </w:rPr>
        <w:t xml:space="preserve">Phase 1 (Field Assessment):</w:t>
      </w:r>
      <w:r>
        <w:t xml:space="preserve"> </w:t>
      </w:r>
      <w:r>
        <w:t xml:space="preserve">Surveys and semi-structured interviews with 80+ active</w:t>
      </w:r>
      <w:r>
        <w:t xml:space="preserve"> </w:t>
      </w:r>
      <w:r>
        <w:rPr>
          <w:bCs/>
          <w:b/>
        </w:rPr>
        <w:t xml:space="preserve">Customs Officer</w:t>
      </w:r>
      <w:r>
        <w:t xml:space="preserve">s at Yangon Port, Hlaingthaya Free Trade Zone, and Naypyidaw customs offices. Data will capture daily challenges, technology access gaps, and corruption exposure.</w:t>
      </w:r>
    </w:p>
    <w:p>
      <w:pPr>
        <w:numPr>
          <w:ilvl w:val="0"/>
          <w:numId w:val="1002"/>
        </w:numPr>
        <w:pStyle w:val="Compact"/>
      </w:pPr>
      <w:r>
        <w:rPr>
          <w:bCs/>
          <w:b/>
        </w:rPr>
        <w:t xml:space="preserve">Phase 2 (Trade Impact Analysis):</w:t>
      </w:r>
      <w:r>
        <w:t xml:space="preserve"> </w:t>
      </w:r>
      <w:r>
        <w:t xml:space="preserve">Collaboration with Myanmar’s Ministry of Commerce to collect clearance time data for 500 shipments processed through Yangon in Q1–Q4 2024. Statistical analysis will correlate procedural delays with trader feedback and revenue outcomes.</w:t>
      </w:r>
    </w:p>
    <w:p>
      <w:pPr>
        <w:numPr>
          <w:ilvl w:val="0"/>
          <w:numId w:val="1002"/>
        </w:numPr>
        <w:pStyle w:val="Compact"/>
      </w:pPr>
      <w:r>
        <w:rPr>
          <w:bCs/>
          <w:b/>
        </w:rPr>
        <w:t xml:space="preserve">Phase 3 (Solution Co-Creation):</w:t>
      </w:r>
      <w:r>
        <w:t xml:space="preserve"> </w:t>
      </w:r>
      <w:r>
        <w:t xml:space="preserve">Workshops with</w:t>
      </w:r>
      <w:r>
        <w:t xml:space="preserve"> </w:t>
      </w:r>
      <w:r>
        <w:rPr>
          <w:bCs/>
          <w:b/>
        </w:rPr>
        <w:t xml:space="preserve">Customs Officer</w:t>
      </w:r>
      <w:r>
        <w:t xml:space="preserve">s, traders, and policymakers to prototype a digital training module and policy brief. The model will prioritize Yangon-specific constraints—e.g., infrastructure limitations in port zones.</w:t>
      </w:r>
    </w:p>
    <w:bookmarkEnd w:id="24"/>
    <w:bookmarkStart w:id="25" w:name="expected-contributions"/>
    <w:p>
      <w:pPr>
        <w:pStyle w:val="Heading2"/>
      </w:pPr>
      <w:r>
        <w:t xml:space="preserve">Expected Contributions</w:t>
      </w:r>
    </w:p>
    <w:p>
      <w:pPr>
        <w:pStyle w:val="FirstParagraph"/>
      </w:pPr>
      <w:r>
        <w:t xml:space="preserve">This research will deliver tangible value for Myanmar Yangon’s economic trajectory. By centering the experiences of the</w:t>
      </w:r>
      <w:r>
        <w:t xml:space="preserve"> </w:t>
      </w:r>
      <w:r>
        <w:rPr>
          <w:bCs/>
          <w:b/>
        </w:rPr>
        <w:t xml:space="preserve">Customs Officer</w:t>
      </w:r>
      <w:r>
        <w:t xml:space="preserve">, this proposal addresses a critical gap: frontline staff as both problem-solvers and agents of reform. The proposed training framework will equip officers with skills to leverage emerging technologies like blockchain for document verification, directly reducing manual errors and bribery opportunities. For Myanmar Yangon specifically, streamlined customs processes could unlock $180M in annual trade potential by shortening clearance times from 9 days to 4 days (based on World Bank benchmarks). Additionally, the study will generate a policy roadmap for the Directorate of Customs to align with ASEAN’s Trade Facilitation Agreement (AFTA), strengthening Yangon’s position as a regional logistics hub.</w:t>
      </w:r>
    </w:p>
    <w:bookmarkEnd w:id="25"/>
    <w:bookmarkStart w:id="26" w:name="significance"/>
    <w:p>
      <w:pPr>
        <w:pStyle w:val="Heading2"/>
      </w:pPr>
      <w:r>
        <w:t xml:space="preserve">Significance</w:t>
      </w:r>
    </w:p>
    <w:p>
      <w:pPr>
        <w:pStyle w:val="FirstParagraph"/>
      </w:pPr>
      <w:r>
        <w:t xml:space="preserve">The significance of this</w:t>
      </w:r>
      <w:r>
        <w:t xml:space="preserve"> </w:t>
      </w:r>
      <w:r>
        <w:rPr>
          <w:bCs/>
          <w:b/>
        </w:rPr>
        <w:t xml:space="preserve">Thesis Proposal</w:t>
      </w:r>
      <w:r>
        <w:t xml:space="preserve"> </w:t>
      </w:r>
      <w:r>
        <w:t xml:space="preserve">extends beyond academia. For Myanmar Yangon, it offers a pathway to transform its customs system from a cost center into an economic catalyst. Efficient customs operations directly support small businesses in Yangon’s burgeoning export sector (e.g., agricultural products and textiles), which contribute 23% to the city’s GDP. For the</w:t>
      </w:r>
      <w:r>
        <w:t xml:space="preserve"> </w:t>
      </w:r>
      <w:r>
        <w:rPr>
          <w:bCs/>
          <w:b/>
        </w:rPr>
        <w:t xml:space="preserve">Customs Officer</w:t>
      </w:r>
      <w:r>
        <w:t xml:space="preserve">, this research advocates for professional development, reducing burnout and ethical compromises through modernized tools. Nationally, success in Myanmar Yangon could serve as a blueprint for customs reform across lower-income ASEAN economies facing similar challenges.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Field Assessment &amp; Data Collection</w:t>
            </w:r>
          </w:p>
        </w:tc>
        <w:tc>
          <w:tcPr>
            <w:gridSpan w:val="2"/>
          </w:tcPr>
          <w:p>
            <w:pPr>
              <w:pStyle w:val="Compact"/>
              <w:jc w:val="left"/>
            </w:pPr>
            <w:r>
              <w:t xml:space="preserve">✓</w:t>
            </w:r>
          </w:p>
        </w:tc>
        <w:tc>
          <w:tcPr/>
          <w:p>
            <w:pPr>
              <w:pStyle w:val="Compact"/>
            </w:pPr>
          </w:p>
        </w:tc>
      </w:tr>
      <w:tr>
        <w:tc>
          <w:tcPr/>
          <w:p>
            <w:pPr>
              <w:pStyle w:val="Compact"/>
              <w:jc w:val="left"/>
            </w:pPr>
            <w:r>
              <w:rPr>
                <w:bCs/>
                <w:b/>
              </w:rPr>
              <w:t xml:space="preserve">Analysis &amp; Training Design</w:t>
            </w:r>
          </w:p>
        </w:tc>
        <w:tc>
          <w:tcPr/>
          <w:p>
            <w:pPr>
              <w:pStyle w:val="Compact"/>
            </w:pPr>
          </w:p>
        </w:tc>
        <w:tc>
          <w:tcPr/>
          <w:p>
            <w:pPr>
              <w:pStyle w:val="Compact"/>
              <w:jc w:val="left"/>
            </w:pPr>
            <w:r>
              <w:t xml:space="preserve">✓</w:t>
            </w:r>
          </w:p>
        </w:tc>
        <w:tc>
          <w:tcPr/>
          <w:p>
            <w:pPr>
              <w:pStyle w:val="Compact"/>
            </w:pPr>
          </w:p>
        </w:tc>
      </w:tr>
      <w:tr>
        <w:tc>
          <w:tcPr/>
          <w:p>
            <w:pPr>
              <w:pStyle w:val="Compact"/>
              <w:jc w:val="left"/>
            </w:pPr>
            <w:r>
              <w:rPr>
                <w:bCs/>
                <w:b/>
              </w:rPr>
              <w:t xml:space="preserve">Pilot Implementation &amp; Policy Drafting</w:t>
            </w:r>
          </w:p>
        </w:tc>
        <w:tc>
          <w:tcPr>
            <w:gridSpan w:val="2"/>
          </w:tcPr>
          <w:p>
            <w:pPr>
              <w:pStyle w:val="Compact"/>
            </w:pPr>
          </w:p>
        </w:tc>
        <w:tc>
          <w:tcPr/>
          <w:p>
            <w:pPr>
              <w:pStyle w:val="Compact"/>
              <w:jc w:val="left"/>
            </w:pPr>
            <w:r>
              <w:t xml:space="preserve">✓</w:t>
            </w:r>
          </w:p>
        </w:tc>
      </w:tr>
    </w:tbl>
    <w:bookmarkEnd w:id="27"/>
    <w:bookmarkStart w:id="28" w:name="conclusion"/>
    <w:p>
      <w:pPr>
        <w:pStyle w:val="Heading2"/>
      </w:pPr>
      <w:r>
        <w:t xml:space="preserve">Conclusion</w:t>
      </w:r>
    </w:p>
    <w:p>
      <w:pPr>
        <w:pStyle w:val="FirstParagraph"/>
      </w:pPr>
      <w:r>
        <w:t xml:space="preserve">The proposed research directly confronts the operational realities of the</w:t>
      </w:r>
      <w:r>
        <w:t xml:space="preserve"> </w:t>
      </w:r>
      <w:r>
        <w:rPr>
          <w:bCs/>
          <w:b/>
        </w:rPr>
        <w:t xml:space="preserve">Customs Officer</w:t>
      </w:r>
      <w:r>
        <w:t xml:space="preserve"> </w:t>
      </w:r>
      <w:r>
        <w:t xml:space="preserve">in Myanmar Yangon—a nexus where trade policy, national revenue, and daily livelihoods intersect. By grounding solutions in the lived experiences of Yangon’s customs workforce and leveraging its strategic geographic position within ASEAN, this</w:t>
      </w:r>
      <w:r>
        <w:t xml:space="preserve"> </w:t>
      </w:r>
      <w:r>
        <w:rPr>
          <w:bCs/>
          <w:b/>
        </w:rPr>
        <w:t xml:space="preserve">Thesis Proposal</w:t>
      </w:r>
      <w:r>
        <w:t xml:space="preserve"> </w:t>
      </w:r>
      <w:r>
        <w:t xml:space="preserve">promises not only academic rigor but also actionable change. With Myanmar’s economic future increasingly tied to seamless trade flows through Yangon, investing in the professionalism and capacity of the</w:t>
      </w:r>
      <w:r>
        <w:t xml:space="preserve"> </w:t>
      </w:r>
      <w:r>
        <w:rPr>
          <w:bCs/>
          <w:b/>
        </w:rPr>
        <w:t xml:space="preserve">Customs Officer</w:t>
      </w:r>
      <w:r>
        <w:t xml:space="preserve"> </w:t>
      </w:r>
      <w:r>
        <w:t xml:space="preserve">is not merely advantageous—it is essential for sustainable growth. This study will provide evidence-based strategies to transform Myanmar Yangon into a model of efficient, transparent customs administration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the Customs Officer Role in Myanmar Yangon</dc:title>
  <dc:creator/>
  <dc:language>en</dc:language>
  <cp:keywords/>
  <dcterms:created xsi:type="dcterms:W3CDTF">2026-07-17T17:39:54Z</dcterms:created>
  <dcterms:modified xsi:type="dcterms:W3CDTF">2026-07-17T17:39:54Z</dcterms:modified>
</cp:coreProperties>
</file>

<file path=docProps/custom.xml><?xml version="1.0" encoding="utf-8"?>
<Properties xmlns="http://schemas.openxmlformats.org/officeDocument/2006/custom-properties" xmlns:vt="http://schemas.openxmlformats.org/officeDocument/2006/docPropsVTypes"/>
</file>