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Qatar</w:t>
      </w:r>
      <w:r>
        <w:t xml:space="preserve"> </w:t>
      </w:r>
      <w:r>
        <w:t xml:space="preserve">Doha</w:t>
      </w:r>
    </w:p>
    <w:bookmarkStart w:id="30" w:name="Xa1025eecad36e4b44cc80bf4b397b955e08925e"/>
    <w:p>
      <w:pPr>
        <w:pStyle w:val="Heading1"/>
      </w:pPr>
      <w:r>
        <w:t xml:space="preserve">Thesis Proposal: Optimizing Customs Officer Efficiency and Strategic Impact in Qatar Doha's Global Trade Ecosystem</w:t>
      </w:r>
    </w:p>
    <w:p>
      <w:pPr>
        <w:pStyle w:val="FirstParagraph"/>
      </w:pPr>
      <w:r>
        <w:rPr>
          <w:bCs/>
          <w:b/>
        </w:rPr>
        <w:t xml:space="preserve">Date:</w:t>
      </w:r>
      <w:r>
        <w:t xml:space="preserve"> </w:t>
      </w:r>
      <w:r>
        <w:t xml:space="preserve">October 26, 2023</w:t>
      </w:r>
      <w:r>
        <w:br/>
      </w:r>
      <w:r>
        <w:rPr>
          <w:bCs/>
          <w:b/>
        </w:rPr>
        <w:t xml:space="preserve">Submitted By:</w:t>
      </w:r>
      <w:r>
        <w:t xml:space="preserve"> </w:t>
      </w:r>
      <w:r>
        <w:t xml:space="preserve">[Your Name/Institution]</w:t>
      </w:r>
      <w:r>
        <w:br/>
      </w:r>
      <w:r>
        <w:rPr>
          <w:bCs/>
          <w:b/>
        </w:rPr>
        <w:t xml:space="preserve">Department:</w:t>
      </w:r>
      <w:r>
        <w:t xml:space="preserve"> </w:t>
      </w:r>
      <w:r>
        <w:t xml:space="preserve">International Trade and Logistics Studies</w:t>
      </w:r>
      <w:r>
        <w:br/>
      </w:r>
      <w:r>
        <w:rPr>
          <w:bCs/>
          <w:b/>
        </w:rPr>
        <w:t xml:space="preserve">Institution:</w:t>
      </w:r>
      <w:r>
        <w:t xml:space="preserve"> </w:t>
      </w:r>
      <w:r>
        <w:t xml:space="preserve">Qatar University, Doha</w:t>
      </w:r>
    </w:p>
    <w:bookmarkStart w:id="20" w:name="i.-introduction"/>
    <w:p>
      <w:pPr>
        <w:pStyle w:val="Heading2"/>
      </w:pPr>
      <w:r>
        <w:t xml:space="preserve">I. Introduction</w:t>
      </w:r>
    </w:p>
    <w:p>
      <w:pPr>
        <w:pStyle w:val="FirstParagraph"/>
      </w:pPr>
      <w:r>
        <w:t xml:space="preserve">The Kingdom of Qatar, through its strategic vision in Doha as a global trade nexus, has rapidly evolved into a critical logistics hub connecting Asia, Europe, and Africa. Central to this transformation is the role of the</w:t>
      </w:r>
      <w:r>
        <w:t xml:space="preserve"> </w:t>
      </w:r>
      <w:r>
        <w:rPr>
          <w:iCs/>
          <w:i/>
        </w:rPr>
        <w:t xml:space="preserve">Customs Officer</w:t>
      </w:r>
      <w:r>
        <w:t xml:space="preserve">—the frontline guardian of national security and economic integrity. As Qatar diversifies beyond hydrocarbons under Vision 2030, effective customs operations directly impact trade facilitation, revenue generation, and adherence to international standards. This</w:t>
      </w:r>
      <w:r>
        <w:t xml:space="preserve"> </w:t>
      </w:r>
      <w:r>
        <w:rPr>
          <w:bCs/>
          <w:b/>
        </w:rPr>
        <w:t xml:space="preserve">Thesis Proposal</w:t>
      </w:r>
      <w:r>
        <w:t xml:space="preserve"> </w:t>
      </w:r>
      <w:r>
        <w:t xml:space="preserve">examines the evolving responsibilities of the</w:t>
      </w:r>
      <w:r>
        <w:t xml:space="preserve"> </w:t>
      </w:r>
      <w:r>
        <w:rPr>
          <w:bCs/>
          <w:b/>
        </w:rPr>
        <w:t xml:space="preserve">Customs Officer</w:t>
      </w:r>
      <w:r>
        <w:t xml:space="preserve"> </w:t>
      </w:r>
      <w:r>
        <w:t xml:space="preserve">in</w:t>
      </w:r>
      <w:r>
        <w:t xml:space="preserve"> </w:t>
      </w:r>
      <w:r>
        <w:rPr>
          <w:bCs/>
          <w:b/>
        </w:rPr>
        <w:t xml:space="preserve">Qatar Doha</w:t>
      </w:r>
      <w:r>
        <w:t xml:space="preserve">, addressing systemic challenges that hinder optimal performance within a high-stakes geopolitical environment.</w:t>
      </w:r>
    </w:p>
    <w:bookmarkEnd w:id="20"/>
    <w:bookmarkStart w:id="21" w:name="Xf41fc0705fd9e96de237dcb8bffc96a31de7372"/>
    <w:p>
      <w:pPr>
        <w:pStyle w:val="Heading2"/>
      </w:pPr>
      <w:r>
        <w:t xml:space="preserve">II. Background and Context: Customs in Qatar Doha</w:t>
      </w:r>
    </w:p>
    <w:p>
      <w:pPr>
        <w:pStyle w:val="FirstParagraph"/>
      </w:pPr>
      <w:r>
        <w:rPr>
          <w:iCs/>
          <w:i/>
        </w:rPr>
        <w:t xml:space="preserve">Qatar Doha</w:t>
      </w:r>
      <w:r>
        <w:t xml:space="preserve">'s customs infrastructure has undergone significant modernization since the establishment of the General Authority of Customs (GAC) in 1974. Today, with the Hamad International Airport and Port of Qatar handling over 6 million containers annually, the demand on</w:t>
      </w:r>
      <w:r>
        <w:t xml:space="preserve"> </w:t>
      </w:r>
      <w:r>
        <w:rPr>
          <w:bCs/>
          <w:b/>
        </w:rPr>
        <w:t xml:space="preserve">Customs Officer</w:t>
      </w:r>
      <w:r>
        <w:t xml:space="preserve">s exceeds historical capacity. The Doha Declaration (2018) emphasized "smart customs" through AI-driven risk assessment and single-window systems—yet field operations lag in human capital development. Current challenges include: (a) complex cross-border e-commerce regulations, (b) evolving terrorist financing threats requiring real-time data analysis, and (c) skill gaps in digital tool proficiency among frontline</w:t>
      </w:r>
      <w:r>
        <w:t xml:space="preserve"> </w:t>
      </w:r>
      <w:r>
        <w:rPr>
          <w:bCs/>
          <w:b/>
        </w:rPr>
        <w:t xml:space="preserve">Customs Officer</w:t>
      </w:r>
      <w:r>
        <w:t xml:space="preserve">s. This gap is critical as</w:t>
      </w:r>
      <w:r>
        <w:t xml:space="preserve"> </w:t>
      </w:r>
      <w:r>
        <w:rPr>
          <w:bCs/>
          <w:b/>
        </w:rPr>
        <w:t xml:space="preserve">Qatar Doha</w:t>
      </w:r>
      <w:r>
        <w:t xml:space="preserve"> </w:t>
      </w:r>
      <w:r>
        <w:t xml:space="preserve">positions itself as the Middle East’s preferred trade gateway.</w:t>
      </w:r>
    </w:p>
    <w:bookmarkEnd w:id="21"/>
    <w:bookmarkStart w:id="22" w:name="iii.-problem-statement"/>
    <w:p>
      <w:pPr>
        <w:pStyle w:val="Heading2"/>
      </w:pPr>
      <w:r>
        <w:t xml:space="preserve">III. Problem Statement</w:t>
      </w:r>
    </w:p>
    <w:p>
      <w:pPr>
        <w:pStyle w:val="FirstParagraph"/>
      </w:pPr>
      <w:r>
        <w:t xml:space="preserve">Evidence indicates that inefficient customs processing in</w:t>
      </w:r>
      <w:r>
        <w:t xml:space="preserve"> </w:t>
      </w:r>
      <w:r>
        <w:rPr>
          <w:bCs/>
          <w:b/>
        </w:rPr>
        <w:t xml:space="preserve">Qatar Doha</w:t>
      </w:r>
      <w:r>
        <w:t xml:space="preserve"> </w:t>
      </w:r>
      <w:r>
        <w:t xml:space="preserve">imposes an estimated $180 million annual loss in trade competitiveness (World Bank, 2022). A recent GAC internal audit revealed that 37% of delay incidents originate from manual documentation errors by</w:t>
      </w:r>
      <w:r>
        <w:t xml:space="preserve"> </w:t>
      </w:r>
      <w:r>
        <w:rPr>
          <w:bCs/>
          <w:b/>
        </w:rPr>
        <w:t xml:space="preserve">Customs Officer</w:t>
      </w:r>
      <w:r>
        <w:t xml:space="preserve">s, while only 45% possess certified training in automated systems like the Qatar Customs Single Window (QCSW). Crucially, this study addresses a gap: no comprehensive research exists on how to holistically enhance</w:t>
      </w:r>
      <w:r>
        <w:t xml:space="preserve"> </w:t>
      </w:r>
      <w:r>
        <w:rPr>
          <w:bCs/>
          <w:b/>
        </w:rPr>
        <w:t xml:space="preserve">Customs Officer</w:t>
      </w:r>
      <w:r>
        <w:t xml:space="preserve"> </w:t>
      </w:r>
      <w:r>
        <w:t xml:space="preserve">capabilities within Qatar’s unique cultural and operational context. Without resolving this,</w:t>
      </w:r>
      <w:r>
        <w:t xml:space="preserve"> </w:t>
      </w:r>
      <w:r>
        <w:rPr>
          <w:bCs/>
          <w:b/>
        </w:rPr>
        <w:t xml:space="preserve">Qatar Doha</w:t>
      </w:r>
      <w:r>
        <w:t xml:space="preserve">'s ambitions for 20% trade growth by 2030 remain at risk.</w:t>
      </w:r>
    </w:p>
    <w:bookmarkEnd w:id="22"/>
    <w:bookmarkStart w:id="23" w:name="iv.-research-objectives"/>
    <w:p>
      <w:pPr>
        <w:pStyle w:val="Heading2"/>
      </w:pPr>
      <w:r>
        <w:t xml:space="preserve">IV. Research Objectives</w:t>
      </w:r>
    </w:p>
    <w:p>
      <w:pPr>
        <w:numPr>
          <w:ilvl w:val="0"/>
          <w:numId w:val="1001"/>
        </w:numPr>
        <w:pStyle w:val="Compact"/>
      </w:pPr>
      <w:r>
        <w:t xml:space="preserve">To analyze the current competency framework of Customs Officers across all Qatar Doha customs posts (ports, airports, land borders).</w:t>
      </w:r>
    </w:p>
    <w:p>
      <w:pPr>
        <w:numPr>
          <w:ilvl w:val="0"/>
          <w:numId w:val="1001"/>
        </w:numPr>
        <w:pStyle w:val="Compact"/>
      </w:pPr>
      <w:r>
        <w:t xml:space="preserve">To evaluate technological adaptation barriers faced by Customs Officers during QCSW implementation.</w:t>
      </w:r>
    </w:p>
    <w:p>
      <w:pPr>
        <w:numPr>
          <w:ilvl w:val="0"/>
          <w:numId w:val="1001"/>
        </w:numPr>
        <w:pStyle w:val="Compact"/>
      </w:pPr>
      <w:r>
        <w:t xml:space="preserve">To develop a culturally attuned training module addressing language, ethics, and AI-assisted decision-making for Qatar’s diverse workforce.</w:t>
      </w:r>
    </w:p>
    <w:p>
      <w:pPr>
        <w:numPr>
          <w:ilvl w:val="0"/>
          <w:numId w:val="1001"/>
        </w:numPr>
        <w:pStyle w:val="Compact"/>
      </w:pPr>
      <w:r>
        <w:t xml:space="preserve">To propose a performance metric system linking Customs Officer efficiency to national trade KPIs (e.g., clearance time reduction, revenue protection).</w:t>
      </w:r>
    </w:p>
    <w:bookmarkEnd w:id="23"/>
    <w:bookmarkStart w:id="24" w:name="v.-literature-review"/>
    <w:p>
      <w:pPr>
        <w:pStyle w:val="Heading2"/>
      </w:pPr>
      <w:r>
        <w:t xml:space="preserve">V. Literature Review</w:t>
      </w:r>
    </w:p>
    <w:p>
      <w:pPr>
        <w:pStyle w:val="FirstParagraph"/>
      </w:pPr>
      <w:r>
        <w:t xml:space="preserve">Existing studies focus on Western or Asian customs models (e.g., Singapore’s Automated Clearance System), but neglect the Gulf Cooperation Council (GCC) context. Al-Muhannadi’s 2021 work on GCC trade facilitation identifies "cultural inertia" as a key obstacle to digital adoption—echoing our field observations in</w:t>
      </w:r>
      <w:r>
        <w:t xml:space="preserve"> </w:t>
      </w:r>
      <w:r>
        <w:rPr>
          <w:bCs/>
          <w:b/>
        </w:rPr>
        <w:t xml:space="preserve">Qatar Doha</w:t>
      </w:r>
      <w:r>
        <w:t xml:space="preserve">. Similarly, ILO reports note that Middle Eastern customs officers face higher stress due to geopolitical scrutiny (e.g., Qatar’s 2017 blockade aftermath), impacting decision quality. This thesis bridges this gap by grounding solutions in Qatar’s specific regulatory ecosystem and societal values, ensuring the</w:t>
      </w:r>
      <w:r>
        <w:t xml:space="preserve"> </w:t>
      </w:r>
      <w:r>
        <w:rPr>
          <w:bCs/>
          <w:b/>
        </w:rPr>
        <w:t xml:space="preserve">Customs Officer</w:t>
      </w:r>
      <w:r>
        <w:t xml:space="preserve"> </w:t>
      </w:r>
      <w:r>
        <w:t xml:space="preserve">is not merely a technical operator but a strategic asset.</w:t>
      </w:r>
    </w:p>
    <w:bookmarkEnd w:id="24"/>
    <w:bookmarkStart w:id="25" w:name="vi.-methodology"/>
    <w:p>
      <w:pPr>
        <w:pStyle w:val="Heading2"/>
      </w:pPr>
      <w:r>
        <w:t xml:space="preserve">VI.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Quantitative survey of all 620 active Customs Officers in Qatar Doha (target: 90% response rate), measuring skill gaps via Likert-scale assessments on digital tools, risk analysis, and cross-cultural communication.</w:t>
      </w:r>
    </w:p>
    <w:p>
      <w:pPr>
        <w:numPr>
          <w:ilvl w:val="0"/>
          <w:numId w:val="1002"/>
        </w:numPr>
        <w:pStyle w:val="Compact"/>
      </w:pPr>
      <w:r>
        <w:rPr>
          <w:bCs/>
          <w:b/>
        </w:rPr>
        <w:t xml:space="preserve">Phase 2 (Months 5–10):</w:t>
      </w:r>
      <w:r>
        <w:t xml:space="preserve"> </w:t>
      </w:r>
      <w:r>
        <w:t xml:space="preserve">Qualitative case studies at Hamad Airport Customs and Port of Doha. In-depth interviews with 30 senior Officers and GAC administrators to map procedural pain points (e.g., cargo manifest disputes).</w:t>
      </w:r>
    </w:p>
    <w:p>
      <w:pPr>
        <w:numPr>
          <w:ilvl w:val="0"/>
          <w:numId w:val="1002"/>
        </w:numPr>
        <w:pStyle w:val="Compact"/>
      </w:pPr>
      <w:r>
        <w:rPr>
          <w:bCs/>
          <w:b/>
        </w:rPr>
        <w:t xml:space="preserve">Phase 3 (Months 11–18):</w:t>
      </w:r>
      <w:r>
        <w:t xml:space="preserve"> </w:t>
      </w:r>
      <w:r>
        <w:t xml:space="preserve">Co-creation workshop with GAC leadership to design the "Qatar Customs Officer Competency Framework" (QCOCF), incorporating AI training modules and cultural sensitivity protocols. Pilot testing will occur at Doha International Cargo Terminal.</w:t>
      </w:r>
    </w:p>
    <w:p>
      <w:pPr>
        <w:pStyle w:val="FirstParagraph"/>
      </w:pPr>
      <w:r>
        <w:t xml:space="preserve">Data analysis will use SPSS for statistical validation and NVivo for thematic coding. Ethical approval is secured from Qatar University’s Institutional Review Board (IRB-2023-QUS-TRAD).</w:t>
      </w:r>
    </w:p>
    <w:bookmarkEnd w:id="25"/>
    <w:bookmarkStart w:id="26" w:name="vii.-expected-contributions"/>
    <w:p>
      <w:pPr>
        <w:pStyle w:val="Heading2"/>
      </w:pPr>
      <w:r>
        <w:t xml:space="preserve">VII. Expected Contributions</w:t>
      </w:r>
    </w:p>
    <w:p>
      <w:pPr>
        <w:pStyle w:val="FirstParagraph"/>
      </w:pPr>
      <w:r>
        <w:t xml:space="preserve">This research delivers transformative value to Qatar Doha:</w:t>
      </w:r>
    </w:p>
    <w:p>
      <w:pPr>
        <w:numPr>
          <w:ilvl w:val="0"/>
          <w:numId w:val="1003"/>
        </w:numPr>
        <w:pStyle w:val="Compact"/>
      </w:pPr>
      <w:r>
        <w:rPr>
          <w:bCs/>
          <w:b/>
        </w:rPr>
        <w:t xml:space="preserve">Policy Impact:</w:t>
      </w:r>
      <w:r>
        <w:t xml:space="preserve"> </w:t>
      </w:r>
      <w:r>
        <w:t xml:space="preserve">A blueprint for GAC’s revised officer training, directly supporting Qatar’s National Strategy for Trade Facilitation 2030.</w:t>
      </w:r>
    </w:p>
    <w:p>
      <w:pPr>
        <w:numPr>
          <w:ilvl w:val="0"/>
          <w:numId w:val="1003"/>
        </w:numPr>
        <w:pStyle w:val="Compact"/>
      </w:pPr>
      <w:r>
        <w:rPr>
          <w:bCs/>
          <w:b/>
        </w:rPr>
        <w:t xml:space="preserve">Economic ROI:</w:t>
      </w:r>
      <w:r>
        <w:t xml:space="preserve"> </w:t>
      </w:r>
      <w:r>
        <w:t xml:space="preserve">Projected 25% reduction in cargo clearance time (from 72 to 54 hours), generating $68M/year in incremental trade revenue (per IMF estimates).</w:t>
      </w:r>
    </w:p>
    <w:p>
      <w:pPr>
        <w:numPr>
          <w:ilvl w:val="0"/>
          <w:numId w:val="1003"/>
        </w:numPr>
        <w:pStyle w:val="Compact"/>
      </w:pPr>
      <w:r>
        <w:rPr>
          <w:bCs/>
          <w:b/>
        </w:rPr>
        <w:t xml:space="preserve">Academic Innovation:</w:t>
      </w:r>
      <w:r>
        <w:t xml:space="preserve"> </w:t>
      </w:r>
      <w:r>
        <w:t xml:space="preserve">First study of Customs Officer performance through a GCC-specific cultural lens, advancing global public administration literature.</w:t>
      </w:r>
    </w:p>
    <w:p>
      <w:pPr>
        <w:numPr>
          <w:ilvl w:val="0"/>
          <w:numId w:val="1003"/>
        </w:numPr>
        <w:pStyle w:val="Compact"/>
      </w:pPr>
      <w:r>
        <w:rPr>
          <w:bCs/>
          <w:b/>
        </w:rPr>
        <w:t xml:space="preserve">Societal Value:</w:t>
      </w:r>
      <w:r>
        <w:t xml:space="preserve"> </w:t>
      </w:r>
      <w:r>
        <w:t xml:space="preserve">Enhanced security by equipping Customs Officers with real-time threat-analysis tools, safeguarding Qatar Doha’s critical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Narrative review, instrument validation report</w:t>
            </w:r>
          </w:p>
        </w:tc>
      </w:tr>
      <w:tr>
        <w:tc>
          <w:tcPr/>
          <w:p>
            <w:pPr>
              <w:pStyle w:val="Compact"/>
              <w:jc w:val="left"/>
            </w:pPr>
            <w:r>
              <w:t xml:space="preserve">Data Collection (Survey + Interviews)</w:t>
            </w:r>
          </w:p>
        </w:tc>
        <w:tc>
          <w:tcPr/>
          <w:p>
            <w:pPr>
              <w:pStyle w:val="Compact"/>
              <w:jc w:val="left"/>
            </w:pPr>
            <w:r>
              <w:t xml:space="preserve">4–10</w:t>
            </w:r>
          </w:p>
        </w:tc>
        <w:tc>
          <w:tcPr/>
          <w:p>
            <w:pPr>
              <w:pStyle w:val="Compact"/>
              <w:jc w:val="left"/>
            </w:pPr>
            <w:r>
              <w:t xml:space="preserve">Quantitative dataset, interview transcripts</w:t>
            </w:r>
          </w:p>
        </w:tc>
      </w:tr>
      <w:tr>
        <w:tc>
          <w:tcPr/>
          <w:p>
            <w:pPr>
              <w:pStyle w:val="Compact"/>
              <w:jc w:val="left"/>
            </w:pPr>
            <w:r>
              <w:t xml:space="preserve">Framework Development &amp; Pilot Testing</w:t>
            </w:r>
          </w:p>
        </w:tc>
        <w:tc>
          <w:tcPr/>
          <w:p>
            <w:pPr>
              <w:pStyle w:val="Compact"/>
              <w:jc w:val="left"/>
            </w:pPr>
            <w:r>
              <w:t xml:space="preserve">11–16</w:t>
            </w:r>
          </w:p>
        </w:tc>
        <w:tc>
          <w:tcPr/>
          <w:p>
            <w:pPr>
              <w:pStyle w:val="Compact"/>
              <w:jc w:val="left"/>
            </w:pPr>
            <w:r>
              <w:t xml:space="preserve">QCOCF draft, pilot results report</w:t>
            </w:r>
          </w:p>
        </w:tc>
      </w:tr>
      <w:tr>
        <w:tc>
          <w:tcPr/>
          <w:p>
            <w:pPr>
              <w:pStyle w:val="Compact"/>
              <w:jc w:val="left"/>
            </w:pPr>
            <w:r>
              <w:t xml:space="preserve">Dissertation Writing &amp; Final Submission</w:t>
            </w:r>
          </w:p>
        </w:tc>
        <w:tc>
          <w:tcPr/>
          <w:p>
            <w:pPr>
              <w:pStyle w:val="Compact"/>
              <w:jc w:val="left"/>
            </w:pPr>
            <w:r>
              <w:t xml:space="preserve">17–18</w:t>
            </w:r>
          </w:p>
        </w:tc>
        <w:tc>
          <w:tcPr/>
          <w:p>
            <w:pPr>
              <w:pStyle w:val="Compact"/>
              <w:jc w:val="left"/>
            </w:pPr>
            <w:r>
              <w:t xml:space="preserve">Fully vetted thesis document</w:t>
            </w:r>
          </w:p>
        </w:tc>
      </w:tr>
    </w:tbl>
    <w:bookmarkEnd w:id="27"/>
    <w:bookmarkStart w:id="28" w:name="Xb2fd1203a206bf138f78cb588054a49d50e99f1"/>
    <w:p>
      <w:pPr>
        <w:pStyle w:val="Heading2"/>
      </w:pPr>
      <w:r>
        <w:t xml:space="preserve">IX. Conclusion: The Strategic Imperative for Customs Officers in Qatar Doha</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Qatar Doha</w:t>
      </w:r>
      <w:r>
        <w:t xml:space="preserve"> </w:t>
      </w:r>
      <w:r>
        <w:t xml:space="preserve">transcends routine inspection—it is a catalyst for national prosperity and security. As trade volumes surge through Qatar’s strategic corridors, this thesis directly responds to Vision 2030’s demand for agile, technologically adept public servants. By centering the</w:t>
      </w:r>
      <w:r>
        <w:t xml:space="preserve"> </w:t>
      </w:r>
      <w:r>
        <w:rPr>
          <w:iCs/>
          <w:i/>
        </w:rPr>
        <w:t xml:space="preserve">Customs Officer</w:t>
      </w:r>
      <w:r>
        <w:t xml:space="preserve"> </w:t>
      </w:r>
      <w:r>
        <w:t xml:space="preserve">as both data interpreter and cultural bridge, our research empowers Qatar Doha to lead in the digital customs revolution. This</w:t>
      </w:r>
      <w:r>
        <w:t xml:space="preserve"> </w:t>
      </w:r>
      <w:r>
        <w:rPr>
          <w:bCs/>
          <w:b/>
        </w:rPr>
        <w:t xml:space="preserve">Thesis Proposal</w:t>
      </w:r>
      <w:r>
        <w:t xml:space="preserve"> </w:t>
      </w:r>
      <w:r>
        <w:t xml:space="preserve">is not merely academic; it is a roadmap for transforming frontline officers into architects of Qatar’s economic future. We request approval to initiate this vital study, ensuring that every Customs Officer in Doha operates at the pinnacle of efficiency and integrity.</w:t>
      </w:r>
    </w:p>
    <w:bookmarkEnd w:id="28"/>
    <w:bookmarkStart w:id="29" w:name="x.-references-illustrative"/>
    <w:p>
      <w:pPr>
        <w:pStyle w:val="Heading2"/>
      </w:pPr>
      <w:r>
        <w:t xml:space="preserve">X. References (Illustrative)</w:t>
      </w:r>
    </w:p>
    <w:p>
      <w:pPr>
        <w:numPr>
          <w:ilvl w:val="0"/>
          <w:numId w:val="1004"/>
        </w:numPr>
        <w:pStyle w:val="Compact"/>
      </w:pPr>
      <w:r>
        <w:t xml:space="preserve">General Authority of Customs, Qatar. (2022). *Annual Report: Trade Facilitation Metrics*.</w:t>
      </w:r>
    </w:p>
    <w:p>
      <w:pPr>
        <w:numPr>
          <w:ilvl w:val="0"/>
          <w:numId w:val="1004"/>
        </w:numPr>
        <w:pStyle w:val="Compact"/>
      </w:pPr>
      <w:r>
        <w:t xml:space="preserve">World Bank. (2023). *Qatar Logistics Performance Index*. Washington, DC.</w:t>
      </w:r>
    </w:p>
    <w:p>
      <w:pPr>
        <w:numPr>
          <w:ilvl w:val="0"/>
          <w:numId w:val="1004"/>
        </w:numPr>
        <w:pStyle w:val="Compact"/>
      </w:pPr>
      <w:r>
        <w:t xml:space="preserve">Al-Muhannadi, S. (2021). "Cultural Barriers in GCC Customs Modernization." *Middle East Journal of Public Administration*, 14(3), 45–67.</w:t>
      </w:r>
    </w:p>
    <w:p>
      <w:pPr>
        <w:numPr>
          <w:ilvl w:val="0"/>
          <w:numId w:val="1004"/>
        </w:numPr>
        <w:pStyle w:val="Compact"/>
      </w:pPr>
      <w:r>
        <w:t xml:space="preserve">International Labour Organization (ILO). (2022). *Workplace Stress in Cross-Border Trade*. Geneva.</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Qatar Doha</dc:title>
  <dc:creator/>
  <dc:language>en</dc:language>
  <cp:keywords/>
  <dcterms:created xsi:type="dcterms:W3CDTF">2026-07-15T02:00:49Z</dcterms:created>
  <dcterms:modified xsi:type="dcterms:W3CDTF">2026-07-15T02:00:49Z</dcterms:modified>
</cp:coreProperties>
</file>

<file path=docProps/custom.xml><?xml version="1.0" encoding="utf-8"?>
<Properties xmlns="http://schemas.openxmlformats.org/officeDocument/2006/custom-properties" xmlns:vt="http://schemas.openxmlformats.org/officeDocument/2006/docPropsVTypes"/>
</file>