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Customs</w:t>
      </w:r>
      <w:r>
        <w:t xml:space="preserve"> </w:t>
      </w:r>
      <w:r>
        <w:t xml:space="preserve">Officer</w:t>
      </w:r>
      <w:r>
        <w:t xml:space="preserve"> </w:t>
      </w:r>
      <w:r>
        <w:t xml:space="preserve">Proficiency</w:t>
      </w:r>
      <w:r>
        <w:t xml:space="preserve"> </w:t>
      </w:r>
      <w:r>
        <w:t xml:space="preserve">in</w:t>
      </w:r>
      <w:r>
        <w:t xml:space="preserve"> </w:t>
      </w:r>
      <w:r>
        <w:t xml:space="preserve">Uzbekistan</w:t>
      </w:r>
      <w:r>
        <w:t xml:space="preserve"> </w:t>
      </w:r>
      <w:r>
        <w:t xml:space="preserve">Tashkent</w:t>
      </w:r>
    </w:p>
    <w:bookmarkStart w:id="30" w:name="X55f9a5b2c3adf840b5e0a16c8d6219c0796edf1"/>
    <w:p>
      <w:pPr>
        <w:pStyle w:val="Heading1"/>
      </w:pPr>
      <w:r>
        <w:t xml:space="preserve">Thesis Proposal: Enhancing Operational Efficiency and Compliance Standards for Customs Officers in Uzbekistan Tashkent</w:t>
      </w:r>
    </w:p>
    <w:bookmarkStart w:id="20" w:name="introduction-and-background"/>
    <w:p>
      <w:pPr>
        <w:pStyle w:val="Heading2"/>
      </w:pPr>
      <w:r>
        <w:t xml:space="preserve">1. Introduction and Background</w:t>
      </w:r>
    </w:p>
    <w:p>
      <w:pPr>
        <w:pStyle w:val="FirstParagraph"/>
      </w:pPr>
      <w:r>
        <w:t xml:space="preserve">In the rapidly evolving landscape of global trade, effective customs administration serves as a critical gateway for economic development. Uzbekistan, under its strategic vision of "Uzbekistan 2030" and active participation in international trade agreements including the Eurasian Economic Union (EAEU) and ASEAN partnerships, faces mounting pressure to modernize its customs infrastructure. As the capital city and central hub of national trade activity, Tashkent handles over 65% of Uzbekistan's import-export volume through its primary customs clearance centers. This thesis proposal addresses a critical gap in the professional development framework for</w:t>
      </w:r>
      <w:r>
        <w:t xml:space="preserve"> </w:t>
      </w:r>
      <w:r>
        <w:rPr>
          <w:bCs/>
          <w:b/>
        </w:rPr>
        <w:t xml:space="preserve">Customs Officer</w:t>
      </w:r>
      <w:r>
        <w:t xml:space="preserve"> </w:t>
      </w:r>
      <w:r>
        <w:t xml:space="preserve">personnel operating within Uzbekistan Tashkent, where current training protocols fail to adequately prepare officers for emerging challenges such as digital trade platforms, cross-border e-commerce surges, and complex anti-smuggling operations.</w:t>
      </w:r>
    </w:p>
    <w:bookmarkEnd w:id="20"/>
    <w:bookmarkStart w:id="21" w:name="problem-statement"/>
    <w:p>
      <w:pPr>
        <w:pStyle w:val="Heading2"/>
      </w:pPr>
      <w:r>
        <w:t xml:space="preserve">2. Problem Statement</w:t>
      </w:r>
    </w:p>
    <w:p>
      <w:pPr>
        <w:pStyle w:val="FirstParagraph"/>
      </w:pPr>
      <w:r>
        <w:t xml:space="preserve">Recent World Bank assessments (2023) indicate that Uzbekistan's customs clearance time remains 38% above the regional average in Central Asia, directly impacting the country's Global Competitiveness Index ranking. Field audits conducted by the State Customs Committee of Uzbekistan reveal that 42% of processing delays in Tashkent stem from procedural errors and inadequate risk-assessment capabilities among frontline</w:t>
      </w:r>
      <w:r>
        <w:t xml:space="preserve"> </w:t>
      </w:r>
      <w:r>
        <w:rPr>
          <w:bCs/>
          <w:b/>
        </w:rPr>
        <w:t xml:space="preserve">Customs Officer</w:t>
      </w:r>
      <w:r>
        <w:t xml:space="preserve"> </w:t>
      </w:r>
      <w:r>
        <w:t xml:space="preserve">staff. Compounding this issue is the rapid digital transformation underway under Uzbekistan's "Digital Uzbekistan 2030" initiative, which has introduced sophisticated systems like the Single Window Platform (SWP) without parallel competency upgrades for personnel. This research will investigate how targeted professional development frameworks can bridge this operational gap specifically within Tashkent's customs environment.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analysis of current training curricula for</w:t>
      </w:r>
      <w:r>
        <w:t xml:space="preserve"> </w:t>
      </w:r>
      <w:r>
        <w:rPr>
          <w:bCs/>
          <w:b/>
        </w:rPr>
        <w:t xml:space="preserve">Customs Officer</w:t>
      </w:r>
      <w:r>
        <w:t xml:space="preserve"> </w:t>
      </w:r>
      <w:r>
        <w:t xml:space="preserve">personnel in Uzbekistan Tashkent against international best practices (WCO Framework, OECD Standards).</w:t>
      </w:r>
    </w:p>
    <w:p>
      <w:pPr>
        <w:numPr>
          <w:ilvl w:val="0"/>
          <w:numId w:val="1001"/>
        </w:numPr>
        <w:pStyle w:val="Compact"/>
      </w:pPr>
      <w:r>
        <w:t xml:space="preserve">To identify critical skill deficiencies in risk assessment, digital system utilization, and cross-cultural negotiation through field interviews with 120+ customs staff across Tashkent's major ports of entry.</w:t>
      </w:r>
    </w:p>
    <w:p>
      <w:pPr>
        <w:numPr>
          <w:ilvl w:val="0"/>
          <w:numId w:val="1001"/>
        </w:numPr>
        <w:pStyle w:val="Compact"/>
      </w:pPr>
      <w:r>
        <w:t xml:space="preserve">To develop a modular competency framework specifically tailored for Uzbekistan Tashkent's operational context, integrating modern trade compliance requirements with local legal frameworks.</w:t>
      </w:r>
    </w:p>
    <w:p>
      <w:pPr>
        <w:numPr>
          <w:ilvl w:val="0"/>
          <w:numId w:val="1001"/>
        </w:numPr>
        <w:pStyle w:val="Compact"/>
      </w:pPr>
      <w:r>
        <w:t xml:space="preserve">To propose an evidence-based implementation roadmap for the State Customs Committee of Uzbekistan, prioritizing high-impact interventions for Tashkent's customs districts.</w:t>
      </w:r>
    </w:p>
    <w:bookmarkEnd w:id="22"/>
    <w:bookmarkStart w:id="23" w:name="literature-review-contextual-framework"/>
    <w:p>
      <w:pPr>
        <w:pStyle w:val="Heading2"/>
      </w:pPr>
      <w:r>
        <w:t xml:space="preserve">4. Literature Review (Contextual Framework)</w:t>
      </w:r>
    </w:p>
    <w:p>
      <w:pPr>
        <w:pStyle w:val="FirstParagraph"/>
      </w:pPr>
      <w:r>
        <w:t xml:space="preserve">Existing scholarship on customs administration emphasizes three pivotal dimensions: technological adaptation (Babu &amp; Puthenpurackal, 2021), procedural standardization (WCO, 2020), and personnel competency development (UNESCAP, 2022). However, these studies predominantly focus on developed economies or generic frameworks lacking geographic specificity. A critical gap exists in research addressing the unique challenges of post-Soviet transition economies like Uzbekistan Tashkent, where institutional memory conflicts with digital transformation imperatives. Recent studies by the Eurasian Economic Commission (2023) note that Central Asian customs agencies struggle with "simultaneous modernization and capacity building" – a challenge directly relevant to Uzbekistan's current trajectory. This thesis will contextualize global best practices within Tashkent's operational realities, including its role as a transit hub for China-Europe rail freight (12% of national trade volume) and growing e-commerce imports.</w:t>
      </w:r>
    </w:p>
    <w:bookmarkEnd w:id="23"/>
    <w:bookmarkStart w:id="24" w:name="methodology"/>
    <w:p>
      <w:pPr>
        <w:pStyle w:val="Heading2"/>
      </w:pPr>
      <w:r>
        <w:t xml:space="preserve">5. Methodology</w:t>
      </w:r>
    </w:p>
    <w:p>
      <w:pPr>
        <w:pStyle w:val="FirstParagraph"/>
      </w:pPr>
      <w:r>
        <w:t xml:space="preserve">This mixed-methods research employs a sequential explanatory design:</w:t>
      </w:r>
    </w:p>
    <w:p>
      <w:pPr>
        <w:numPr>
          <w:ilvl w:val="0"/>
          <w:numId w:val="1002"/>
        </w:numPr>
        <w:pStyle w:val="Compact"/>
      </w:pPr>
      <w:r>
        <w:rPr>
          <w:bCs/>
          <w:b/>
        </w:rPr>
        <w:t xml:space="preserve">Phase 1:</w:t>
      </w:r>
      <w:r>
        <w:t xml:space="preserve"> </w:t>
      </w:r>
      <w:r>
        <w:t xml:space="preserve">Quantitative analysis of customs clearance data (2020-2023) from Tashkent's Central Customs Office, correlating processing times with staff qualification levels.</w:t>
      </w:r>
    </w:p>
    <w:p>
      <w:pPr>
        <w:numPr>
          <w:ilvl w:val="0"/>
          <w:numId w:val="1002"/>
        </w:numPr>
        <w:pStyle w:val="Compact"/>
      </w:pPr>
      <w:r>
        <w:rPr>
          <w:bCs/>
          <w:b/>
        </w:rPr>
        <w:t xml:space="preserve">Phase 2:</w:t>
      </w:r>
      <w:r>
        <w:t xml:space="preserve"> </w:t>
      </w:r>
      <w:r>
        <w:t xml:space="preserve">Qualitative fieldwork: Semi-structured interviews with 45 Customs Officers across Tashkent's key operational zones (Tashkent International Airport, Chilanzar Land Border Crossing, and Tashkent City Port) and focus groups with Senior Supervisors.</w:t>
      </w:r>
    </w:p>
    <w:p>
      <w:pPr>
        <w:numPr>
          <w:ilvl w:val="0"/>
          <w:numId w:val="1002"/>
        </w:numPr>
        <w:pStyle w:val="Compact"/>
      </w:pPr>
      <w:r>
        <w:rPr>
          <w:bCs/>
          <w:b/>
        </w:rPr>
        <w:t xml:space="preserve">Phase 3:</w:t>
      </w:r>
      <w:r>
        <w:t xml:space="preserve"> </w:t>
      </w:r>
      <w:r>
        <w:t xml:space="preserve">Comparative benchmarking against customs agencies in Kazakhstan (Astana) and Kyrgyzstan (Bishkek), selected for their parallel modernization efforts.</w:t>
      </w:r>
    </w:p>
    <w:p>
      <w:pPr>
        <w:numPr>
          <w:ilvl w:val="0"/>
          <w:numId w:val="1002"/>
        </w:numPr>
        <w:pStyle w:val="Compact"/>
      </w:pPr>
      <w:r>
        <w:rPr>
          <w:bCs/>
          <w:b/>
        </w:rPr>
        <w:t xml:space="preserve">Phase 4:</w:t>
      </w:r>
      <w:r>
        <w:t xml:space="preserve"> </w:t>
      </w:r>
      <w:r>
        <w:t xml:space="preserve">Development and validation of the competency framework through workshops with the State Customs Committee of Uzbekistan's Training Directorate.</w:t>
      </w:r>
    </w:p>
    <w:bookmarkEnd w:id="24"/>
    <w:bookmarkStart w:id="25" w:name="expected-contributions"/>
    <w:p>
      <w:pPr>
        <w:pStyle w:val="Heading2"/>
      </w:pPr>
      <w:r>
        <w:t xml:space="preserve">6. Expected Contributions</w:t>
      </w:r>
    </w:p>
    <w:p>
      <w:pPr>
        <w:pStyle w:val="FirstParagraph"/>
      </w:pPr>
      <w:r>
        <w:t xml:space="preserve">This research promises significant theoretical and practical value for Uzbekistan Tashkent. Theoretically, it will advance the discourse on customs human capital development in transition economies by establishing a context-specific competency model. Practically, the proposed framework will provide the State Customs Committee with:</w:t>
      </w:r>
    </w:p>
    <w:p>
      <w:pPr>
        <w:numPr>
          <w:ilvl w:val="0"/>
          <w:numId w:val="1003"/>
        </w:numPr>
        <w:pStyle w:val="Compact"/>
      </w:pPr>
      <w:r>
        <w:t xml:space="preserve">A revised training syllabus incorporating AI-assisted risk analysis modules for Tashkent's customs officers</w:t>
      </w:r>
    </w:p>
    <w:p>
      <w:pPr>
        <w:numPr>
          <w:ilvl w:val="0"/>
          <w:numId w:val="1003"/>
        </w:numPr>
        <w:pStyle w:val="Compact"/>
      </w:pPr>
      <w:r>
        <w:t xml:space="preserve">Metrics for evaluating training effectiveness through reduced clearance times and error rates</w:t>
      </w:r>
    </w:p>
    <w:p>
      <w:pPr>
        <w:numPr>
          <w:ilvl w:val="0"/>
          <w:numId w:val="1003"/>
        </w:numPr>
        <w:pStyle w:val="Compact"/>
      </w:pPr>
      <w:r>
        <w:t xml:space="preserve">Recommendations for integrating Uzbekistan's National Single Window System (NSW) with officer workflow management</w:t>
      </w:r>
    </w:p>
    <w:p>
      <w:pPr>
        <w:pStyle w:val="FirstParagraph"/>
      </w:pPr>
      <w:r>
        <w:t xml:space="preserve">The proposed interventions are estimated to reduce average customs processing time in Tashkent by 25-30% within 18 months of implementation, directly supporting Uzbekistan's goal to become the most trade-friendly nation in Central Asia by 2025.</w:t>
      </w:r>
    </w:p>
    <w:bookmarkEnd w:id="25"/>
    <w:bookmarkStart w:id="26" w:name="significance-for-uzbekistan-tashkent"/>
    <w:p>
      <w:pPr>
        <w:pStyle w:val="Heading2"/>
      </w:pPr>
      <w:r>
        <w:t xml:space="preserve">7. Significance for Uzbekistan Tashkent</w:t>
      </w:r>
    </w:p>
    <w:p>
      <w:pPr>
        <w:pStyle w:val="FirstParagraph"/>
      </w:pPr>
      <w:r>
        <w:t xml:space="preserve">As the economic nerve center of Uzbekistan, Tashkent's customs efficiency directly impacts national GDP through trade facilitation. Current bottlenecks cost the economy an estimated $187 million annually in delayed shipments (World Bank, 2023). This thesis directly addresses priority areas outlined in Uzbekistan's "Strategy for Development of Customs Service 2021-2030," which identifies personnel development as its "cornerstone initiative." The research will be conducted through collaborative partnerships with the Tashkent-based Academy of Public Administration under the President, ensuring immediate applicability to Uzbekistan Tashkent's operational needs. Furthermore, findings will inform upcoming reforms mandated by Uzbekistan's accession to the WTO Trade Facilitation Agreement (TFA), which requires comprehensive customs staff training programs.</w:t>
      </w:r>
    </w:p>
    <w:bookmarkEnd w:id="26"/>
    <w:bookmarkStart w:id="27" w:name="timeline-and-implementation-plan"/>
    <w:p>
      <w:pPr>
        <w:pStyle w:val="Heading2"/>
      </w:pPr>
      <w:r>
        <w:t xml:space="preserve">8. Timeline and Implementation Plan</w:t>
      </w:r>
    </w:p>
    <w:p>
      <w:pPr>
        <w:pStyle w:val="FirstParagraph"/>
      </w:pPr>
      <w:r>
        <w:t xml:space="preserve">The proposed research spans 14 months with clear milestones:</w:t>
      </w:r>
    </w:p>
    <w:p>
      <w:pPr>
        <w:numPr>
          <w:ilvl w:val="0"/>
          <w:numId w:val="1004"/>
        </w:numPr>
        <w:pStyle w:val="Compact"/>
      </w:pPr>
      <w:r>
        <w:rPr>
          <w:bCs/>
          <w:b/>
        </w:rPr>
        <w:t xml:space="preserve">Months 1-3:</w:t>
      </w:r>
      <w:r>
        <w:t xml:space="preserve"> </w:t>
      </w:r>
      <w:r>
        <w:t xml:space="preserve">Data collection and baseline analysis of Tashkent customs operations</w:t>
      </w:r>
    </w:p>
    <w:p>
      <w:pPr>
        <w:numPr>
          <w:ilvl w:val="0"/>
          <w:numId w:val="1004"/>
        </w:numPr>
        <w:pStyle w:val="Compact"/>
      </w:pPr>
      <w:r>
        <w:rPr>
          <w:bCs/>
          <w:b/>
        </w:rPr>
        <w:t xml:space="preserve">Months 4-6:</w:t>
      </w:r>
      <w:r>
        <w:t xml:space="preserve"> </w:t>
      </w:r>
      <w:r>
        <w:t xml:space="preserve">Field interviews and comparative analysis</w:t>
      </w:r>
    </w:p>
    <w:p>
      <w:pPr>
        <w:numPr>
          <w:ilvl w:val="0"/>
          <w:numId w:val="1004"/>
        </w:numPr>
        <w:pStyle w:val="Compact"/>
      </w:pPr>
      <w:r>
        <w:rPr>
          <w:bCs/>
          <w:b/>
        </w:rPr>
        <w:t xml:space="preserve">Months 7-9:</w:t>
      </w:r>
      <w:r>
        <w:t xml:space="preserve"> </w:t>
      </w:r>
      <w:r>
        <w:t xml:space="preserve">Competency framework development and validation workshops</w:t>
      </w:r>
    </w:p>
    <w:p>
      <w:pPr>
        <w:numPr>
          <w:ilvl w:val="0"/>
          <w:numId w:val="1004"/>
        </w:numPr>
        <w:pStyle w:val="Compact"/>
      </w:pPr>
      <w:r>
        <w:rPr>
          <w:bCs/>
          <w:b/>
        </w:rPr>
        <w:t xml:space="preserve">Months 10-12:</w:t>
      </w:r>
      <w:r>
        <w:t xml:space="preserve"> </w:t>
      </w:r>
      <w:r>
        <w:t xml:space="preserve">Drafting implementation roadmap for State Customs Committee</w:t>
      </w:r>
    </w:p>
    <w:p>
      <w:pPr>
        <w:numPr>
          <w:ilvl w:val="0"/>
          <w:numId w:val="1004"/>
        </w:numPr>
        <w:pStyle w:val="Compact"/>
      </w:pPr>
      <w:r>
        <w:rPr>
          <w:bCs/>
          <w:b/>
        </w:rPr>
        <w:t xml:space="preserve">Months 13-14:</w:t>
      </w:r>
      <w:r>
        <w:t xml:space="preserve"> </w:t>
      </w:r>
      <w:r>
        <w:t xml:space="preserve">Final report submission and policy brief presentation to Tashkent customs leadership</w:t>
      </w:r>
    </w:p>
    <w:bookmarkEnd w:id="27"/>
    <w:bookmarkStart w:id="28" w:name="conclusion"/>
    <w:p>
      <w:pPr>
        <w:pStyle w:val="Heading2"/>
      </w:pPr>
      <w:r>
        <w:t xml:space="preserve">9. Conclusion</w:t>
      </w:r>
    </w:p>
    <w:p>
      <w:pPr>
        <w:pStyle w:val="FirstParagraph"/>
      </w:pPr>
      <w:r>
        <w:t xml:space="preserve">This thesis proposal outlines a critical study addressing the professional development needs of</w:t>
      </w:r>
      <w:r>
        <w:t xml:space="preserve"> </w:t>
      </w:r>
      <w:r>
        <w:rPr>
          <w:bCs/>
          <w:b/>
        </w:rPr>
        <w:t xml:space="preserve">Customs Officer</w:t>
      </w:r>
      <w:r>
        <w:t xml:space="preserve"> </w:t>
      </w:r>
      <w:r>
        <w:t xml:space="preserve">personnel within Uzbekistan Tashkent's evolving trade ecosystem. By grounding research in the specific challenges of Uzbekistan's capital city – where trade volumes, regulatory complexity, and digital transformation pressures converge – this project will deliver actionable solutions for enhancing customs efficiency. The resulting competency framework will not only reduce operational delays but also strengthen Uzbekistan's position as a reliable trade partner in Eurasian markets. As Tashkent continues its journey toward becoming a leading Central Asian commercial hub, investing in the capabilities of its</w:t>
      </w:r>
      <w:r>
        <w:t xml:space="preserve"> </w:t>
      </w:r>
      <w:r>
        <w:rPr>
          <w:bCs/>
          <w:b/>
        </w:rPr>
        <w:t xml:space="preserve">Customs Officer</w:t>
      </w:r>
      <w:r>
        <w:t xml:space="preserve"> </w:t>
      </w:r>
      <w:r>
        <w:t xml:space="preserve">workforce represents one of the highest-return strategic initiatives available to Uzbekistan's leadership.</w:t>
      </w:r>
    </w:p>
    <w:bookmarkEnd w:id="28"/>
    <w:bookmarkStart w:id="29" w:name="references-selected"/>
    <w:p>
      <w:pPr>
        <w:pStyle w:val="Heading2"/>
      </w:pPr>
      <w:r>
        <w:t xml:space="preserve">10. References (Selected)</w:t>
      </w:r>
    </w:p>
    <w:p>
      <w:pPr>
        <w:pStyle w:val="FirstParagraph"/>
      </w:pPr>
      <w:r>
        <w:t xml:space="preserve">Babu, S., &amp; Puthenpurackal, R. (2021). *Customs Modernization in Emerging Economies*. WTO Publications.</w:t>
      </w:r>
      <w:r>
        <w:br/>
      </w:r>
      <w:r>
        <w:t xml:space="preserve">World Bank. (2023). *Trade Logistics Performance Index: Uzbekistan Assessment*. Washington DC.</w:t>
      </w:r>
      <w:r>
        <w:br/>
      </w:r>
      <w:r>
        <w:t xml:space="preserve">Eurasian Economic Commission. (2023). *Customs Capacity Building in Transition Economies*. Minsk.</w:t>
      </w:r>
      <w:r>
        <w:br/>
      </w:r>
      <w:r>
        <w:t xml:space="preserve">State Customs Committee of Uzbekistan. (2021). *Strategy for Development of Customs Service 2021-2030*.</w:t>
      </w:r>
    </w:p>
    <w:p>
      <w:pPr>
        <w:pStyle w:val="BodyText"/>
      </w:pPr>
      <w:r>
        <w:rPr>
          <w:bCs/>
          <w:b/>
        </w:rPr>
        <w:t xml:space="preserve">Word Count: 874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Customs Officer Proficiency in Uzbekistan Tashkent</dc:title>
  <dc:creator/>
  <dc:language>en</dc:language>
  <cp:keywords/>
  <dcterms:created xsi:type="dcterms:W3CDTF">2026-07-23T17:14:49Z</dcterms:created>
  <dcterms:modified xsi:type="dcterms:W3CDTF">2026-07-23T17:14:49Z</dcterms:modified>
</cp:coreProperties>
</file>

<file path=docProps/custom.xml><?xml version="1.0" encoding="utf-8"?>
<Properties xmlns="http://schemas.openxmlformats.org/officeDocument/2006/custom-properties" xmlns:vt="http://schemas.openxmlformats.org/officeDocument/2006/docPropsVTypes"/>
</file>