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Thesis</w:t>
      </w:r>
      <w:r>
        <w:t xml:space="preserve"> </w:t>
      </w:r>
      <w:r>
        <w:t xml:space="preserve">Proposal:</w:t>
      </w:r>
      <w:r>
        <w:t xml:space="preserve"> </w:t>
      </w:r>
      <w:r>
        <w:t xml:space="preserve">Advancing</w:t>
      </w:r>
      <w:r>
        <w:t xml:space="preserve"> </w:t>
      </w:r>
      <w:r>
        <w:t xml:space="preserve">AI-Driven</w:t>
      </w:r>
      <w:r>
        <w:t xml:space="preserve"> </w:t>
      </w:r>
      <w:r>
        <w:t xml:space="preserve">Transformation</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X2318f58d5287650d36543fff5236a5b84322bd0"/>
    <w:p>
      <w:pPr>
        <w:pStyle w:val="Heading1"/>
      </w:pPr>
      <w:r>
        <w:t xml:space="preserve">Thesis Proposal: Strategic Implementation of Data Science for Economic Diversification in Saudi Arabia Riyadh</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Riyadh as the epicenter of a transformative digital revolution, targeting a $500 billion non-oil GDP contribution by 2030. As the capital city accelerates its smart city ambitions and industrial modernization, the role of the</w:t>
      </w:r>
      <w:r>
        <w:t xml:space="preserve"> </w:t>
      </w:r>
      <w:r>
        <w:rPr>
          <w:bCs/>
          <w:b/>
        </w:rPr>
        <w:t xml:space="preserve">Data Scientist</w:t>
      </w:r>
      <w:r>
        <w:t xml:space="preserve"> </w:t>
      </w:r>
      <w:r>
        <w:t xml:space="preserve">has become indispensable for turning raw data into strategic assets. This Thesis Proposal outlines a research framework to develop specialized data science competencies tailored to Riyadh's unique economic ecosystem, where government agencies, private sector entities like Saudi Aramco and NEOM, and burgeoning tech startups generate petabytes of data daily. The current gap lies in culturally contextualized analytical frameworks that align with Saudi Arabia's socio-economic priorities while leveraging advanced AI capabilities.</w:t>
      </w:r>
    </w:p>
    <w:bookmarkEnd w:id="20"/>
    <w:bookmarkStart w:id="21" w:name="problem-statement"/>
    <w:p>
      <w:pPr>
        <w:pStyle w:val="Heading2"/>
      </w:pPr>
      <w:r>
        <w:t xml:space="preserve">2. Problem Statement</w:t>
      </w:r>
    </w:p>
    <w:p>
      <w:pPr>
        <w:pStyle w:val="FirstParagraph"/>
      </w:pPr>
      <w:r>
        <w:t xml:space="preserve">Riyadh's rapid urbanization (projected to reach 14 million residents by 2030) and Vision 2030's digital transformation mandates have created a critical shortage of locally adapted Data Scientists. Existing global models fail to address unique Saudi challenges: seasonal data patterns in tourism/hajj, cultural preferences in consumer behavior, regulatory frameworks under the Saudi Data &amp; Artificial Intelligence Authority (SDAIA), and the need for Arabic language NLP solutions. Without region-specific analytics infrastructure, Riyadh's $3 billion smart city investments risk inefficiency. This research addresses the urgent need for a</w:t>
      </w:r>
      <w:r>
        <w:t xml:space="preserve"> </w:t>
      </w:r>
      <w:r>
        <w:rPr>
          <w:bCs/>
          <w:b/>
        </w:rPr>
        <w:t xml:space="preserve">Thesis Proposal</w:t>
      </w:r>
      <w:r>
        <w:t xml:space="preserve"> </w:t>
      </w:r>
      <w:r>
        <w:t xml:space="preserve">that bridges theoretical data science with on-the-ground Saudi operational requirements.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develop a Riyadh-specific data analytics framework</w:t>
      </w:r>
      <w:r>
        <w:t xml:space="preserve"> </w:t>
      </w:r>
      <w:r>
        <w:t xml:space="preserve">incorporating Vision 2030 KPIs, including tourism flow optimization, energy consumption patterns in extreme climates, and e-government service personalization.</w:t>
      </w:r>
    </w:p>
    <w:p>
      <w:pPr>
        <w:numPr>
          <w:ilvl w:val="0"/>
          <w:numId w:val="1001"/>
        </w:numPr>
        <w:pStyle w:val="Compact"/>
      </w:pPr>
      <w:r>
        <w:rPr>
          <w:bCs/>
          <w:b/>
        </w:rPr>
        <w:t xml:space="preserve">To create culturally intelligent algorithms</w:t>
      </w:r>
      <w:r>
        <w:t xml:space="preserve"> </w:t>
      </w:r>
      <w:r>
        <w:t xml:space="preserve">that process Arabic language datasets (including dialect variations) for retail, healthcare (e.g., Saudi Health Data Platform), and municipal services.</w:t>
      </w:r>
    </w:p>
    <w:p>
      <w:pPr>
        <w:numPr>
          <w:ilvl w:val="0"/>
          <w:numId w:val="1001"/>
        </w:numPr>
        <w:pStyle w:val="Compact"/>
      </w:pPr>
      <w:r>
        <w:rPr>
          <w:bCs/>
          <w:b/>
        </w:rPr>
        <w:t xml:space="preserve">To establish ethical guidelines</w:t>
      </w:r>
      <w:r>
        <w:t xml:space="preserve"> </w:t>
      </w:r>
      <w:r>
        <w:t xml:space="preserve">compliant with Saudi regulations while maximizing data utility, addressing privacy concerns under the Personal Data Protection Law.</w:t>
      </w:r>
    </w:p>
    <w:p>
      <w:pPr>
        <w:numPr>
          <w:ilvl w:val="0"/>
          <w:numId w:val="1001"/>
        </w:numPr>
        <w:pStyle w:val="Compact"/>
      </w:pPr>
      <w:r>
        <w:rPr>
          <w:bCs/>
          <w:b/>
        </w:rPr>
        <w:t xml:space="preserve">To design a competency model</w:t>
      </w:r>
      <w:r>
        <w:t xml:space="preserve"> </w:t>
      </w:r>
      <w:r>
        <w:t xml:space="preserve">for local Data Scientists through partnerships with King Abdulaziz University and Riyadh Digital Hub, targeting 30% workforce localization by 2027.</w:t>
      </w:r>
    </w:p>
    <w:bookmarkEnd w:id="22"/>
    <w:bookmarkStart w:id="26" w:name="methodology"/>
    <w:p>
      <w:pPr>
        <w:pStyle w:val="Heading2"/>
      </w:pPr>
      <w:r>
        <w:t xml:space="preserve">4. Methodology</w:t>
      </w:r>
    </w:p>
    <w:p>
      <w:pPr>
        <w:pStyle w:val="FirstParagraph"/>
      </w:pPr>
      <w:r>
        <w:t xml:space="preserve">This mixed-methods research will deploy a three-phase approach across Riyadh's operational landscape:</w:t>
      </w:r>
    </w:p>
    <w:bookmarkStart w:id="23" w:name="X88a51c2eb7f657f3a99e8a47b67f742c13024a3"/>
    <w:p>
      <w:pPr>
        <w:pStyle w:val="Heading3"/>
      </w:pPr>
      <w:r>
        <w:t xml:space="preserve">Phase 1: Data Ecosystem Mapping (Months 1-4)</w:t>
      </w:r>
    </w:p>
    <w:p>
      <w:pPr>
        <w:pStyle w:val="FirstParagraph"/>
      </w:pPr>
      <w:r>
        <w:t xml:space="preserve">Collaborating with the Riyadh Municipality, SDAIA, and Saudi Telecom Company (STC), we will inventory data sources across 8 critical sectors: transportation (</w:t>
      </w:r>
      <w:r>
        <w:rPr>
          <w:iCs/>
          <w:i/>
        </w:rPr>
        <w:t xml:space="preserve">al-Madinah al-Munawwarah</w:t>
      </w:r>
      <w:r>
        <w:t xml:space="preserve"> </w:t>
      </w:r>
      <w:r>
        <w:t xml:space="preserve">project), healthcare (Makkah Health Cluster), education (</w:t>
      </w:r>
      <w:r>
        <w:rPr>
          <w:iCs/>
          <w:i/>
        </w:rPr>
        <w:t xml:space="preserve">Qasim Project</w:t>
      </w:r>
      <w:r>
        <w:t xml:space="preserve">), and tourism. Focus on integrating Arabic-language social media streams, satellite imagery, and IoT sensor networks in Riyadh's smart districts like Diplomatic Quarter.</w:t>
      </w:r>
    </w:p>
    <w:bookmarkEnd w:id="23"/>
    <w:bookmarkStart w:id="24" w:name="X17c589101ac5a67c5806de71fe5c2c71ee98c52"/>
    <w:p>
      <w:pPr>
        <w:pStyle w:val="Heading3"/>
      </w:pPr>
      <w:r>
        <w:t xml:space="preserve">Phase 2: Context-Aware Model Development (Months 5-10)</w:t>
      </w:r>
    </w:p>
    <w:p>
      <w:pPr>
        <w:pStyle w:val="FirstParagraph"/>
      </w:pPr>
      <w:r>
        <w:t xml:space="preserve">Building upon Saudi-specific datasets from the General Authority for Statistics (GASTAT), we will:</w:t>
      </w:r>
    </w:p>
    <w:p>
      <w:pPr>
        <w:numPr>
          <w:ilvl w:val="0"/>
          <w:numId w:val="1002"/>
        </w:numPr>
        <w:pStyle w:val="Compact"/>
      </w:pPr>
      <w:r>
        <w:t xml:space="preserve">Train Arabic NLP models using &gt;2M Saudi social media posts to analyze public sentiment on Vision 2030 initiatives</w:t>
      </w:r>
    </w:p>
    <w:p>
      <w:pPr>
        <w:numPr>
          <w:ilvl w:val="0"/>
          <w:numId w:val="1002"/>
        </w:numPr>
        <w:pStyle w:val="Compact"/>
      </w:pPr>
      <w:r>
        <w:t xml:space="preserve">Develop predictive maintenance algorithms for Riyadh's subway expansion (</w:t>
      </w:r>
      <w:r>
        <w:rPr>
          <w:iCs/>
          <w:i/>
        </w:rPr>
        <w:t xml:space="preserve">Riyadh Metro</w:t>
      </w:r>
      <w:r>
        <w:t xml:space="preserve">) using real-time sensor data</w:t>
      </w:r>
    </w:p>
    <w:p>
      <w:pPr>
        <w:numPr>
          <w:ilvl w:val="0"/>
          <w:numId w:val="1002"/>
        </w:numPr>
        <w:pStyle w:val="Compact"/>
      </w:pPr>
      <w:r>
        <w:t xml:space="preserve">Create energy-demand forecasting tools calibrated for summer temperatures exceeding 50°C (e.g., optimizing NEOM's solar grid)</w:t>
      </w:r>
    </w:p>
    <w:bookmarkEnd w:id="24"/>
    <w:bookmarkStart w:id="25" w:name="X28076788b2e632c1c9e4eaa02f6ba6e360d33c0"/>
    <w:p>
      <w:pPr>
        <w:pStyle w:val="Heading3"/>
      </w:pPr>
      <w:r>
        <w:t xml:space="preserve">Phase 3: Implementation &amp; Impact Assessment (Months 11-24)</w:t>
      </w:r>
    </w:p>
    <w:p>
      <w:pPr>
        <w:pStyle w:val="FirstParagraph"/>
      </w:pPr>
      <w:r>
        <w:t xml:space="preserve">Piloting solutions with Riyadh Economic City and the Ministry of Tourism, measuring success through:</w:t>
      </w:r>
    </w:p>
    <w:p>
      <w:pPr>
        <w:numPr>
          <w:ilvl w:val="0"/>
          <w:numId w:val="1003"/>
        </w:numPr>
        <w:pStyle w:val="Compact"/>
      </w:pPr>
      <w:r>
        <w:t xml:space="preserve">Reduction in municipal service response times (target: 40% faster)</w:t>
      </w:r>
    </w:p>
    <w:p>
      <w:pPr>
        <w:numPr>
          <w:ilvl w:val="0"/>
          <w:numId w:val="1003"/>
        </w:numPr>
        <w:pStyle w:val="Compact"/>
      </w:pPr>
      <w:r>
        <w:t xml:space="preserve">Increased tourism revenue attribution via AI-driven visitor behavior analysis</w:t>
      </w:r>
    </w:p>
    <w:p>
      <w:pPr>
        <w:numPr>
          <w:ilvl w:val="0"/>
          <w:numId w:val="1003"/>
        </w:numPr>
        <w:pStyle w:val="Compact"/>
      </w:pPr>
      <w:r>
        <w:t xml:space="preserve">Compliance score against SDAIA's AI ethics checklist (target: 95% compliance)</w:t>
      </w:r>
    </w:p>
    <w:bookmarkEnd w:id="25"/>
    <w:bookmarkEnd w:id="26"/>
    <w:bookmarkStart w:id="27" w:name="literature-review-synthesis"/>
    <w:p>
      <w:pPr>
        <w:pStyle w:val="Heading2"/>
      </w:pPr>
      <w:r>
        <w:t xml:space="preserve">5. Literature Review Synthesis</w:t>
      </w:r>
    </w:p>
    <w:p>
      <w:pPr>
        <w:pStyle w:val="FirstParagraph"/>
      </w:pPr>
      <w:r>
        <w:t xml:space="preserve">While global Data Science literature (e.g., Provost &amp; Fawcett, 2013) provides technical foundations, critical gaps exist in GCC-specific applications. Recent studies by Al-Suhaimi (2021) on Saudi urban data and SDAIA's 2023 AI Governance Framework highlight the absence of localized analytical models. This research innovates by integrating:</w:t>
      </w:r>
    </w:p>
    <w:p>
      <w:pPr>
        <w:numPr>
          <w:ilvl w:val="0"/>
          <w:numId w:val="1004"/>
        </w:numPr>
        <w:pStyle w:val="Compact"/>
      </w:pPr>
      <w:r>
        <w:rPr>
          <w:iCs/>
          <w:i/>
        </w:rPr>
        <w:t xml:space="preserve">Cultural intelligence metrics</w:t>
      </w:r>
      <w:r>
        <w:t xml:space="preserve"> </w:t>
      </w:r>
      <w:r>
        <w:t xml:space="preserve">(e.g., incorporating Islamic calendar events into retail forecasting)</w:t>
      </w:r>
    </w:p>
    <w:p>
      <w:pPr>
        <w:numPr>
          <w:ilvl w:val="0"/>
          <w:numId w:val="1004"/>
        </w:numPr>
        <w:pStyle w:val="Compact"/>
      </w:pPr>
      <w:r>
        <w:rPr>
          <w:iCs/>
          <w:i/>
        </w:rPr>
        <w:t xml:space="preserve">Extreme climate adaptation</w:t>
      </w:r>
      <w:r>
        <w:t xml:space="preserve"> </w:t>
      </w:r>
      <w:r>
        <w:t xml:space="preserve">for energy systems (unaddressed in Western datasets)</w:t>
      </w:r>
    </w:p>
    <w:p>
      <w:pPr>
        <w:numPr>
          <w:ilvl w:val="0"/>
          <w:numId w:val="1004"/>
        </w:numPr>
        <w:pStyle w:val="Compact"/>
      </w:pPr>
      <w:r>
        <w:rPr>
          <w:iCs/>
          <w:i/>
        </w:rPr>
        <w:t xml:space="preserve">Saudi regulatory alignment</w:t>
      </w:r>
      <w:r>
        <w:t xml:space="preserve"> </w:t>
      </w:r>
      <w:r>
        <w:t xml:space="preserve">as a core design principle, not an afterthought</w:t>
      </w:r>
    </w:p>
    <w:bookmarkEnd w:id="27"/>
    <w:bookmarkStart w:id="28" w:name="X46250610769ec9ef198f0c292e45976dcaf85c5"/>
    <w:p>
      <w:pPr>
        <w:pStyle w:val="Heading2"/>
      </w:pPr>
      <w:r>
        <w:t xml:space="preserve">6. Expected Outcomes and Significance for Saudi Arabia Riyadh</w:t>
      </w:r>
    </w:p>
    <w:p>
      <w:pPr>
        <w:pStyle w:val="FirstParagraph"/>
      </w:pPr>
      <w:r>
        <w:t xml:space="preserve">This Thesis Proposal will deliver:</w:t>
      </w:r>
    </w:p>
    <w:p>
      <w:pPr>
        <w:numPr>
          <w:ilvl w:val="0"/>
          <w:numId w:val="1005"/>
        </w:numPr>
        <w:pStyle w:val="Compact"/>
      </w:pPr>
      <w:r>
        <w:t xml:space="preserve">A deployable</w:t>
      </w:r>
      <w:r>
        <w:t xml:space="preserve"> </w:t>
      </w:r>
      <w:r>
        <w:rPr>
          <w:bCs/>
          <w:b/>
        </w:rPr>
        <w:t xml:space="preserve">Data Scientist</w:t>
      </w:r>
      <w:r>
        <w:t xml:space="preserve"> </w:t>
      </w:r>
      <w:r>
        <w:t xml:space="preserve">toolkit with Arabic-language analytics modules, reducing reliance on imported solutions by 35%</w:t>
      </w:r>
    </w:p>
    <w:p>
      <w:pPr>
        <w:numPr>
          <w:ilvl w:val="0"/>
          <w:numId w:val="1005"/>
        </w:numPr>
        <w:pStyle w:val="Compact"/>
      </w:pPr>
      <w:r>
        <w:t xml:space="preserve">Policy briefs for SDAIA on data governance standards for Riyadh's smart city projects</w:t>
      </w:r>
    </w:p>
    <w:p>
      <w:pPr>
        <w:numPr>
          <w:ilvl w:val="0"/>
          <w:numId w:val="1005"/>
        </w:numPr>
        <w:pStyle w:val="Compact"/>
      </w:pPr>
      <w:r>
        <w:t xml:space="preserve">A training curriculum certified by the Saudi Council of Engineers, targeting 200 local Data Scientists annually</w:t>
      </w:r>
    </w:p>
    <w:p>
      <w:pPr>
        <w:numPr>
          <w:ilvl w:val="0"/>
          <w:numId w:val="1005"/>
        </w:numPr>
        <w:pStyle w:val="Compact"/>
      </w:pPr>
      <w:r>
        <w:t xml:space="preserve">Quantifiable impact: Optimizing Riyadh's $5B public transport investment through predictive demand modeling (projected ROI: $1.7B/year)</w:t>
      </w:r>
    </w:p>
    <w:p>
      <w:pPr>
        <w:pStyle w:val="FirstParagraph"/>
      </w:pPr>
      <w:r>
        <w:t xml:space="preserve">The significance extends beyond Riyadh—this model will become the benchmark for Vision 2030's digital cities nationwide, directly supporting the Kingdom's ambition to rank among top 25 global innovation economies by 2030. For Saudi Arabia Riyadh specifically, it transforms data from a passive asset into an active engine for economic diversification and citizen-centric governance.</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Ecosystem Mapping</w:t>
            </w:r>
          </w:p>
        </w:tc>
        <w:tc>
          <w:tcPr/>
          <w:p>
            <w:pPr>
              <w:pStyle w:val="Compact"/>
              <w:jc w:val="left"/>
            </w:pPr>
            <w:r>
              <w:t xml:space="preserve">4 months</w:t>
            </w:r>
          </w:p>
        </w:tc>
        <w:tc>
          <w:tcPr/>
          <w:p>
            <w:pPr>
              <w:pStyle w:val="Compact"/>
              <w:jc w:val="left"/>
            </w:pPr>
            <w:r>
              <w:t xml:space="preserve">Riyadh Municipality data access, STC API integrations, SDAIA compliance clearance</w:t>
            </w:r>
          </w:p>
        </w:tc>
      </w:tr>
      <w:tr>
        <w:tc>
          <w:tcPr/>
          <w:p>
            <w:pPr>
              <w:pStyle w:val="Compact"/>
              <w:jc w:val="left"/>
            </w:pPr>
            <w:r>
              <w:t xml:space="preserve">Model Development</w:t>
            </w:r>
          </w:p>
        </w:tc>
        <w:tc>
          <w:tcPr/>
          <w:p>
            <w:pPr>
              <w:pStyle w:val="Compact"/>
              <w:jc w:val="left"/>
            </w:pPr>
            <w:r>
              <w:t xml:space="preserve">6 months</w:t>
            </w:r>
          </w:p>
        </w:tc>
        <w:tc>
          <w:tcPr/>
          <w:p>
            <w:pPr>
              <w:pStyle w:val="Compact"/>
              <w:jc w:val="left"/>
            </w:pPr>
            <w:r>
              <w:t xml:space="preserve">AWS Riyadh Cloud infrastructure, Arabic NLP datasets from King Saud University</w:t>
            </w:r>
          </w:p>
        </w:tc>
      </w:tr>
      <w:tr>
        <w:tc>
          <w:tcPr/>
          <w:p>
            <w:pPr>
              <w:pStyle w:val="Compact"/>
              <w:jc w:val="left"/>
            </w:pPr>
            <w:r>
              <w:t xml:space="preserve">Pilots &amp; Validation</w:t>
            </w:r>
          </w:p>
        </w:tc>
        <w:tc>
          <w:tcPr/>
          <w:p>
            <w:pPr>
              <w:pStyle w:val="Compact"/>
              <w:jc w:val="left"/>
            </w:pPr>
            <w:r>
              <w:t xml:space="preserve">14 months</w:t>
            </w:r>
          </w:p>
        </w:tc>
        <w:tc>
          <w:tcPr/>
          <w:p>
            <w:pPr>
              <w:pStyle w:val="Compact"/>
              <w:jc w:val="left"/>
            </w:pPr>
            <w:r>
              <w:t xml:space="preserve">Partnerships with Riyadh Economic City, Ministry of Tourism analytics team</w:t>
            </w:r>
          </w:p>
        </w:tc>
      </w:tr>
    </w:tbl>
    <w:bookmarkEnd w:id="29"/>
    <w:bookmarkStart w:id="30" w:name="Xe6d5b623259e4fc7a6ba81c03e5127e139486a6"/>
    <w:p>
      <w:pPr>
        <w:pStyle w:val="Heading2"/>
      </w:pPr>
      <w:r>
        <w:t xml:space="preserve">8. Conclusion: The Future of Data Science in Saudi Arabia Riyadh</w:t>
      </w:r>
    </w:p>
    <w:p>
      <w:pPr>
        <w:pStyle w:val="FirstParagraph"/>
      </w:pPr>
      <w:r>
        <w:t xml:space="preserve">This Thesis Proposal transcends academic inquiry—it is a strategic blueprint for positioning Riyadh as the Middle East's premier hub for purpose-driven data science. By embedding cultural, climatic, and regulatory context into every analytical solution, we address the core challenge facing Saudi Arabia's digital transformation: moving beyond generic AI to</w:t>
      </w:r>
      <w:r>
        <w:t xml:space="preserve"> </w:t>
      </w:r>
      <w:r>
        <w:rPr>
          <w:iCs/>
          <w:i/>
        </w:rPr>
        <w:t xml:space="preserve">intelligent systems that understand Riyadh</w:t>
      </w:r>
      <w:r>
        <w:t xml:space="preserve">. As the Kingdom accelerates its journey toward a knowledge economy, this research will empower Data Scientists not merely as technicians but as architects of Vision 2030. The success metrics—measured in reduced traffic congestion, elevated tourism revenues, and optimized public services—will prove that data science rooted in local reality delivers exponential value for Saudi Arabia Riyadh's future.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Thesis Proposal: Advancing AI-Driven Transformation in Saudi Arabia Riyadh</dc:title>
  <dc:creator/>
  <dc:language>en</dc:language>
  <cp:keywords/>
  <dcterms:created xsi:type="dcterms:W3CDTF">2026-07-14T02:38:04Z</dcterms:created>
  <dcterms:modified xsi:type="dcterms:W3CDTF">2026-07-14T02:38:04Z</dcterms:modified>
</cp:coreProperties>
</file>

<file path=docProps/custom.xml><?xml version="1.0" encoding="utf-8"?>
<Properties xmlns="http://schemas.openxmlformats.org/officeDocument/2006/custom-properties" xmlns:vt="http://schemas.openxmlformats.org/officeDocument/2006/docPropsVTypes"/>
</file>