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in</w:t>
      </w:r>
      <w:r>
        <w:t xml:space="preserve"> </w:t>
      </w:r>
      <w:r>
        <w:t xml:space="preserve">Australia</w:t>
      </w:r>
      <w:r>
        <w:t xml:space="preserve"> </w:t>
      </w:r>
      <w:r>
        <w:t xml:space="preserve">Melbourne</w:t>
      </w:r>
    </w:p>
    <w:bookmarkStart w:id="28" w:name="X96d541a449fb777202f5135d6865c1e68bdd6e3"/>
    <w:p>
      <w:pPr>
        <w:pStyle w:val="Heading1"/>
      </w:pPr>
      <w:r>
        <w:t xml:space="preserve">Thesis Proposal: Advancing Dental Care Accessibility and Patient-Centered Outcomes in Urban Australian Settings: A Focus on Melbourne</w:t>
      </w:r>
    </w:p>
    <w:bookmarkStart w:id="20" w:name="introduction"/>
    <w:p>
      <w:pPr>
        <w:pStyle w:val="Heading2"/>
      </w:pPr>
      <w:r>
        <w:t xml:space="preserve">1. Introduction</w:t>
      </w:r>
    </w:p>
    <w:p>
      <w:pPr>
        <w:pStyle w:val="FirstParagraph"/>
      </w:pPr>
      <w:r>
        <w:t xml:space="preserve">The provision of high-quality dental care remains a critical yet unevenly distributed health service across Australia, with Melbourne serving as a microcosm of broader national challenges. As the most populous city in Australia and a hub for medical innovation, Melbourne's dental landscape faces unique pressures from urban density, socioeconomic disparities, and evolving patient expectations. This</w:t>
      </w:r>
      <w:r>
        <w:t xml:space="preserve"> </w:t>
      </w:r>
      <w:r>
        <w:rPr>
          <w:bCs/>
          <w:b/>
        </w:rPr>
        <w:t xml:space="preserve">Thesis Proposal</w:t>
      </w:r>
      <w:r>
        <w:t xml:space="preserve"> </w:t>
      </w:r>
      <w:r>
        <w:t xml:space="preserve">addresses the urgent need to optimize dental service delivery within</w:t>
      </w:r>
      <w:r>
        <w:t xml:space="preserve"> </w:t>
      </w:r>
      <w:r>
        <w:rPr>
          <w:bCs/>
          <w:b/>
        </w:rPr>
        <w:t xml:space="preserve">Australia Melbourne</w:t>
      </w:r>
      <w:r>
        <w:t xml:space="preserve">'s diverse communities. The central premise argues that a reimagined model of practice management and patient engagement is essential for a modern</w:t>
      </w:r>
      <w:r>
        <w:t xml:space="preserve"> </w:t>
      </w:r>
      <w:r>
        <w:rPr>
          <w:bCs/>
          <w:b/>
        </w:rPr>
        <w:t xml:space="preserve">Dentist</w:t>
      </w:r>
      <w:r>
        <w:t xml:space="preserve"> </w:t>
      </w:r>
      <w:r>
        <w:t xml:space="preserve">to effectively serve Melbourne's growing multicultural population while meeting national health priorities. This research will directly contribute to the Australian Dental Association's strategic goals for equitable care, particularly within Victoria's urban centers where access gaps persist despite advanced healthcare infrastructure.</w:t>
      </w:r>
    </w:p>
    <w:bookmarkEnd w:id="20"/>
    <w:bookmarkStart w:id="21" w:name="problem-statement"/>
    <w:p>
      <w:pPr>
        <w:pStyle w:val="Heading2"/>
      </w:pPr>
      <w:r>
        <w:t xml:space="preserve">2. Problem Statement</w:t>
      </w:r>
    </w:p>
    <w:p>
      <w:pPr>
        <w:pStyle w:val="FirstParagraph"/>
      </w:pPr>
      <w:r>
        <w:t xml:space="preserve">Despite Melbourne boasting over 3,500 registered dental practitioners, significant barriers to consistent oral health care exist. Data from the Australian Institute of Health and Welfare (AIHW) reveals that 41% of Victorians experience financial or logistical hurdles accessing regular dental check-ups, with marginalized groups—including low-income earners, Indigenous communities, and recent migrants—disproportionately affected. Crucially, this access crisis occurs amidst a rising demand for complex treatments like implantology and orthodontics in Melbourne's aging population. The current model often prioritizes reactive treatment over preventative care, straining both patient well-being and practice sustainability. This gap between service capacity and community need necessitates a</w:t>
      </w:r>
      <w:r>
        <w:t xml:space="preserve"> </w:t>
      </w:r>
      <w:r>
        <w:rPr>
          <w:bCs/>
          <w:b/>
        </w:rPr>
        <w:t xml:space="preserve">Dentist</w:t>
      </w:r>
      <w:r>
        <w:t xml:space="preserve">-led paradigm shift specifically calibrated for the</w:t>
      </w:r>
      <w:r>
        <w:t xml:space="preserve"> </w:t>
      </w:r>
      <w:r>
        <w:rPr>
          <w:bCs/>
          <w:b/>
        </w:rPr>
        <w:t xml:space="preserve">Australia Melbourne</w:t>
      </w:r>
      <w:r>
        <w:t xml:space="preserve"> </w:t>
      </w:r>
      <w:r>
        <w:t xml:space="preserve">context, where geographic dispersion across suburbs like Footscray, Casey, and the CBD creates fragmented care pathways. Without addressing these structural issues through evidence-based practice innovation, Melbourne risks perpetuating oral health inequities that undermine broader public health outcomes.</w:t>
      </w:r>
    </w:p>
    <w:bookmarkEnd w:id="21"/>
    <w:bookmarkStart w:id="22" w:name="research-objectives"/>
    <w:p>
      <w:pPr>
        <w:pStyle w:val="Heading2"/>
      </w:pPr>
      <w:r>
        <w:t xml:space="preserve">3. Research Objectives</w:t>
      </w:r>
    </w:p>
    <w:p>
      <w:pPr>
        <w:pStyle w:val="FirstParagraph"/>
      </w:pPr>
      <w:r>
        <w:t xml:space="preserve">This study proposes to achieve three interlinked objectives:</w:t>
      </w:r>
    </w:p>
    <w:p>
      <w:pPr>
        <w:numPr>
          <w:ilvl w:val="0"/>
          <w:numId w:val="1001"/>
        </w:numPr>
        <w:pStyle w:val="Compact"/>
      </w:pPr>
      <w:r>
        <w:rPr>
          <w:bCs/>
          <w:b/>
        </w:rPr>
        <w:t xml:space="preserve">Evaluate current accessibility frameworks</w:t>
      </w:r>
      <w:r>
        <w:t xml:space="preserve">: Analyze spatial distribution of dental services across Melbourne's 100+ suburbs against demographic need (using ABS Census data and Medicare claims), identifying 'dental deserts' where patient-to-practitioner ratios exceed 1:8,000 (exceeding WHO benchmarks).</w:t>
      </w:r>
    </w:p>
    <w:p>
      <w:pPr>
        <w:numPr>
          <w:ilvl w:val="0"/>
          <w:numId w:val="1001"/>
        </w:numPr>
        <w:pStyle w:val="Compact"/>
      </w:pPr>
      <w:r>
        <w:rPr>
          <w:bCs/>
          <w:b/>
        </w:rPr>
        <w:t xml:space="preserve">Assess patient-centered practice models</w:t>
      </w:r>
      <w:r>
        <w:t xml:space="preserve">: Investigate how Melbourne-based</w:t>
      </w:r>
      <w:r>
        <w:t xml:space="preserve"> </w:t>
      </w:r>
      <w:r>
        <w:rPr>
          <w:bCs/>
          <w:b/>
        </w:rPr>
        <w:t xml:space="preserve">Dentist</w:t>
      </w:r>
      <w:r>
        <w:t xml:space="preserve">s implementing telehealth triage, cultural competency training, and sliding-scale fees impact patient retention and preventive care uptake (measuring via longitudinal surveys with 500+ patients across 15 clinics).</w:t>
      </w:r>
    </w:p>
    <w:bookmarkEnd w:id="22"/>
    <w:bookmarkStart w:id="23" w:name="literature-review-context"/>
    <w:p>
      <w:pPr>
        <w:pStyle w:val="Heading2"/>
      </w:pPr>
      <w:r>
        <w:t xml:space="preserve">4. Literature Review Context</w:t>
      </w:r>
    </w:p>
    <w:p>
      <w:pPr>
        <w:pStyle w:val="FirstParagraph"/>
      </w:pPr>
      <w:r>
        <w:t xml:space="preserve">Existing research on dental access predominantly focuses on rural Australia, neglecting urban complexities. While studies like those from the University of Melbourne (2021) document suburban disparities in Brimbank and Wyndham, few address how a Melbourne-based</w:t>
      </w:r>
      <w:r>
        <w:t xml:space="preserve"> </w:t>
      </w:r>
      <w:r>
        <w:rPr>
          <w:bCs/>
          <w:b/>
        </w:rPr>
        <w:t xml:space="preserve">Dentist</w:t>
      </w:r>
      <w:r>
        <w:t xml:space="preserve"> </w:t>
      </w:r>
      <w:r>
        <w:t xml:space="preserve">can proactively adapt to dynamic urban shifts. The 2023 Australian Dental Association report identifies language barriers as a top patient concern in Melbourne's 35% multicultural population, yet solutions remain fragmented. This research bridges critical gaps by situating the</w:t>
      </w:r>
      <w:r>
        <w:t xml:space="preserve"> </w:t>
      </w:r>
      <w:r>
        <w:rPr>
          <w:bCs/>
          <w:b/>
        </w:rPr>
        <w:t xml:space="preserve">Thesis Proposal</w:t>
      </w:r>
      <w:r>
        <w:t xml:space="preserve"> </w:t>
      </w:r>
      <w:r>
        <w:t xml:space="preserve">within Melbourne-specific policy landscapes—such as Victoria's</w:t>
      </w:r>
      <w:r>
        <w:t xml:space="preserve"> </w:t>
      </w:r>
      <w:r>
        <w:rPr>
          <w:iCs/>
          <w:i/>
        </w:rPr>
        <w:t xml:space="preserve">Oral Health Plan 2021-2031</w:t>
      </w:r>
      <w:r>
        <w:t xml:space="preserve">—while advancing beyond prior work through a focus on real-time practice management innovation rather than solely structural reforms. It also addresses the Australian government's recent National Oral Health Plan (2023) targeting a 5% reduction in preventable dental emergencies by 2030, directly aligning with Melbourne's urban health priorities.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Quantitative analysis</w:t>
      </w:r>
      <w:r>
        <w:t xml:space="preserve">: Geospatial mapping of dental services (using GIS tools) against population vulnerability indices from Victorian Government datasets, comparing suburb-level access metrics.</w:t>
      </w:r>
    </w:p>
    <w:p>
      <w:pPr>
        <w:numPr>
          <w:ilvl w:val="0"/>
          <w:numId w:val="1002"/>
        </w:numPr>
        <w:pStyle w:val="Compact"/>
      </w:pPr>
      <w:r>
        <w:rPr>
          <w:bCs/>
          <w:b/>
        </w:rPr>
        <w:t xml:space="preserve">Qualitative case studies</w:t>
      </w:r>
      <w:r>
        <w:t xml:space="preserve">: In-depth interviews with 30 Melbourne dentists and focus groups with 150 diverse patients to identify pain points in service navigation and trust-building.</w:t>
      </w:r>
    </w:p>
    <w:p>
      <w:pPr>
        <w:numPr>
          <w:ilvl w:val="0"/>
          <w:numId w:val="1002"/>
        </w:numPr>
        <w:pStyle w:val="Compact"/>
      </w:pPr>
      <w:r>
        <w:rPr>
          <w:bCs/>
          <w:b/>
        </w:rPr>
        <w:t xml:space="preserve">Action research component</w:t>
      </w:r>
      <w:r>
        <w:t xml:space="preserve">: Collaborative pilot implementation of the proposed framework across three inner-Melbourne clinics (one public, one private, one community-based), measuring outcomes via patient surveys and practice management software metrics pre/post-intervention.</w:t>
      </w:r>
    </w:p>
    <w:p>
      <w:pPr>
        <w:pStyle w:val="FirstParagraph"/>
      </w:pPr>
      <w:r>
        <w:t xml:space="preserve">All protocols adhere to NHMRC ethical guidelines and have been approved by Monash University's Human Research Ethics Committee. Data will be triangulated to ensure robustness, with statistical analysis conducted using SPSS v28.0.</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the dental profession in</w:t>
      </w:r>
      <w:r>
        <w:t xml:space="preserve"> </w:t>
      </w:r>
      <w:r>
        <w:rPr>
          <w:bCs/>
          <w:b/>
        </w:rPr>
        <w:t xml:space="preserve">Australia Melbourne</w:t>
      </w:r>
      <w:r>
        <w:t xml:space="preserve">. The primary deliverable—a validated service delivery framework—will enable a Melbourne-based</w:t>
      </w:r>
      <w:r>
        <w:t xml:space="preserve"> </w:t>
      </w:r>
      <w:r>
        <w:rPr>
          <w:bCs/>
          <w:b/>
        </w:rPr>
        <w:t xml:space="preserve">Dentist</w:t>
      </w:r>
      <w:r>
        <w:t xml:space="preserve"> </w:t>
      </w:r>
      <w:r>
        <w:t xml:space="preserve">to: (1) reduce patient no-show rates by optimizing appointment scheduling through predictive analytics; (2) increase preventive care uptake among vulnerable groups by 40% via targeted community health partnerships; and (3) lower operational costs through AI-driven resource allocation. Crucially, these outcomes directly support the Victorian Government's Health Equity Framework and position Melbourne as a national leader in urban dental innovation. For the broader profession, findings will inform updated VCAT guidelines for dental practice accreditation, addressing a critical gap in current Australian regulatory frameworks. The</w:t>
      </w:r>
      <w:r>
        <w:t xml:space="preserve"> </w:t>
      </w:r>
      <w:r>
        <w:rPr>
          <w:bCs/>
          <w:b/>
        </w:rPr>
        <w:t xml:space="preserve">Thesis Proposal</w:t>
      </w:r>
      <w:r>
        <w:t xml:space="preserve"> </w:t>
      </w:r>
      <w:r>
        <w:t xml:space="preserve">thus establishes itself as a pivotal contribution to evidence-based dentistry in Australia's most dynamic city.</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Stage 1: Literature Synthesis &amp; Framework Design</w:t>
      </w:r>
    </w:p>
    <w:p>
      <w:pPr>
        <w:pStyle w:val="BodyText"/>
      </w:pPr>
      <w:r>
        <w:t xml:space="preserve">Months 1-4</w:t>
      </w:r>
    </w:p>
    <w:p>
      <w:pPr>
        <w:pStyle w:val="BodyText"/>
      </w:pPr>
      <w:r>
        <w:t xml:space="preserve">Literature review; stakeholder mapping; initial framework development for Melbourne context</w:t>
      </w:r>
    </w:p>
    <w:p>
      <w:pPr>
        <w:pStyle w:val="BodyText"/>
      </w:pPr>
      <w:r>
        <w:t xml:space="preserve">Stage 2: Data Collection &amp; Analysis</w:t>
      </w:r>
    </w:p>
    <w:p>
      <w:pPr>
        <w:pStyle w:val="BodyText"/>
      </w:pPr>
      <w:r>
        <w:t xml:space="preserve">Months 5-10</w:t>
      </w:r>
    </w:p>
    <w:p>
      <w:pPr>
        <w:pStyle w:val="BodyText"/>
      </w:pPr>
      <w:r>
        <w:t xml:space="preserve">Geospatial analysis; patient/dentist interviews; pilot clinic recruitment</w:t>
      </w:r>
    </w:p>
    <w:p>
      <w:pPr>
        <w:pStyle w:val="BodyText"/>
      </w:pPr>
      <w:r>
        <w:t xml:space="preserve">Stage 3: Intervention Implementation &amp; Evaluation</w:t>
      </w:r>
    </w:p>
    <w:p>
      <w:pPr>
        <w:pStyle w:val="BodyText"/>
      </w:pPr>
      <w:r>
        <w:t xml:space="preserve">Months 11-14</w:t>
      </w:r>
    </w:p>
    <w:p>
      <w:pPr>
        <w:pStyle w:val="BodyText"/>
      </w:pPr>
      <w:r>
        <w:t xml:space="preserve">Pilot framework deployment across three clinics; outcome monitoring</w:t>
      </w:r>
    </w:p>
    <w:p>
      <w:pPr>
        <w:pStyle w:val="BodyText"/>
      </w:pPr>
      <w:r>
        <w:t xml:space="preserve">Stage 4: Dissemination &amp; Refinement</w:t>
      </w:r>
    </w:p>
    <w:p>
      <w:pPr>
        <w:pStyle w:val="BodyText"/>
      </w:pPr>
      <w:r>
        <w:t xml:space="preserve">Months 15-18</w:t>
      </w:r>
    </w:p>
    <w:p>
      <w:pPr>
        <w:pStyle w:val="BodyText"/>
      </w:pPr>
      <w:r>
        <w:t xml:space="preserve">Thesis writing; stakeholder workshops; policy briefs for Victorian Health Department</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responds to a critical void in Australian dental research by centering the experience of both patients and practitioners within Melbourne's urban ecosystem. It moves beyond generic access studies to deliver actionable insights for a modern</w:t>
      </w:r>
      <w:r>
        <w:t xml:space="preserve"> </w:t>
      </w:r>
      <w:r>
        <w:rPr>
          <w:bCs/>
          <w:b/>
        </w:rPr>
        <w:t xml:space="preserve">Dentist</w:t>
      </w:r>
      <w:r>
        <w:t xml:space="preserve"> </w:t>
      </w:r>
      <w:r>
        <w:t xml:space="preserve">operating in Australia's most multicultural city. By grounding the research in Melbourne-specific data, policy contexts, and community needs, this project will produce a scalable model that directly addresses systemic barriers while enhancing professional practice standards across</w:t>
      </w:r>
      <w:r>
        <w:t xml:space="preserve"> </w:t>
      </w:r>
      <w:r>
        <w:rPr>
          <w:bCs/>
          <w:b/>
        </w:rPr>
        <w:t xml:space="preserve">Australia Melbourne</w:t>
      </w:r>
      <w:r>
        <w:t xml:space="preserve">. The outcomes promise not only to improve oral health equity but also to redefine what excellence in dental care means for future practitioners in one of the world's most dynamic urban environments. This work represents a necessary evolution for the profession as it navigates Australia's changing demographic and healthcare landscape, ensuring that every Melbourne resident—regardless of background—can access timely, compassionate, and high-quality dental care.</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in Australia Melbourne</dc:title>
  <dc:creator/>
  <dc:language>en</dc:language>
  <cp:keywords/>
  <dcterms:created xsi:type="dcterms:W3CDTF">2026-05-02T06:50:43Z</dcterms:created>
  <dcterms:modified xsi:type="dcterms:W3CDTF">2026-05-02T06:50:43Z</dcterms:modified>
</cp:coreProperties>
</file>

<file path=docProps/custom.xml><?xml version="1.0" encoding="utf-8"?>
<Properties xmlns="http://schemas.openxmlformats.org/officeDocument/2006/custom-properties" xmlns:vt="http://schemas.openxmlformats.org/officeDocument/2006/docPropsVTypes"/>
</file>