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Australia</w:t>
      </w:r>
      <w:r>
        <w:t xml:space="preserve"> </w:t>
      </w:r>
      <w:r>
        <w:t xml:space="preserve">Sydney</w:t>
      </w:r>
    </w:p>
    <w:bookmarkStart w:id="29" w:name="Xb7a005397cb289c9539cc3583171b007b7273f7"/>
    <w:p>
      <w:pPr>
        <w:pStyle w:val="Heading1"/>
      </w:pPr>
      <w:r>
        <w:t xml:space="preserve">Thesis Proposal: Enhancing Dental Care Accessibility and Quality for Underserved Communities in Australia Sydney</w:t>
      </w:r>
    </w:p>
    <w:bookmarkStart w:id="20" w:name="introduction-and-background"/>
    <w:p>
      <w:pPr>
        <w:pStyle w:val="Heading2"/>
      </w:pPr>
      <w:r>
        <w:t xml:space="preserve">1. Introduction and Background</w:t>
      </w:r>
    </w:p>
    <w:p>
      <w:pPr>
        <w:pStyle w:val="FirstParagraph"/>
      </w:pPr>
      <w:r>
        <w:t xml:space="preserve">Dentistry in Australia represents a high-standard healthcare sector, yet significant disparities persist in access to quality oral health services across the nation. This thesis proposal addresses a critical gap within the Australian context, specifically focusing on Sydney's complex urban landscape where socioeconomic inequalities create barriers to essential dental care. As a future Dentist committed to public health innovation, I propose research examining systemic challenges facing underserved populations in Sydney—a city of 5 million residents where 20% experience preventable oral diseases due to access barriers. With Australia's National Oral Health Plan (2021-2031) prioritizing equity, this study positions Sydney as a pivotal case study for transforming dental service delivery models. The research directly responds to the Australian Dental Association's 2023 report highlighting that 45% of low-income Sydney residents delay dental visits due to cost, travel, or cultural factors.</w:t>
      </w:r>
    </w:p>
    <w:bookmarkEnd w:id="20"/>
    <w:bookmarkStart w:id="21" w:name="problem-statement"/>
    <w:p>
      <w:pPr>
        <w:pStyle w:val="Heading2"/>
      </w:pPr>
      <w:r>
        <w:t xml:space="preserve">2. Problem Statement</w:t>
      </w:r>
    </w:p>
    <w:p>
      <w:pPr>
        <w:pStyle w:val="FirstParagraph"/>
      </w:pPr>
      <w:r>
        <w:t xml:space="preserve">Despite Australia's advanced healthcare infrastructure, Sydney faces unique challenges in dental care delivery. Urban sprawl fragments service access: while inner-city areas boast high dentist density (18 per 100,000 people), disadvantaged suburbs like Canterbury-Bankstown and Western Sydney exhibit critical shortages (5 per 100,000). This disparity manifests in preventable outcomes—children in Sydney's low-SES postcode 2234 have a 3.2x higher rate of dental decay than affluent areas (Australian Institute of Health and Welfare, 2023). Current solutions remain fragmented; mobile dental units operate sporadically, and tele-dentistry adoption lags behind other medical fields. As a Dentist-in-training at the University of Sydney Dental School, I observe firsthand how these gaps compromise patient outcomes while straining public health resources. This research therefore tackles the urgent need for scalable, culturally responsive models tailored to Australia's most populous city.</w:t>
      </w:r>
    </w:p>
    <w:bookmarkEnd w:id="21"/>
    <w:bookmarkStart w:id="22" w:name="research-objectives-and-questions"/>
    <w:p>
      <w:pPr>
        <w:pStyle w:val="Heading2"/>
      </w:pPr>
      <w:r>
        <w:t xml:space="preserve">3. Research Objectives and Questions</w:t>
      </w:r>
    </w:p>
    <w:p>
      <w:pPr>
        <w:pStyle w:val="FirstParagraph"/>
      </w:pPr>
      <w:r>
        <w:t xml:space="preserve">This thesis aims to develop a framework for equitable dental care delivery in Sydney through three interconnected objectives:</w:t>
      </w:r>
    </w:p>
    <w:p>
      <w:pPr>
        <w:numPr>
          <w:ilvl w:val="0"/>
          <w:numId w:val="1001"/>
        </w:numPr>
        <w:pStyle w:val="Compact"/>
      </w:pPr>
      <w:r>
        <w:t xml:space="preserve">To map spatial and socioeconomic barriers affecting dental access across 10 priority Sydney Local Health Districts.</w:t>
      </w:r>
    </w:p>
    <w:p>
      <w:pPr>
        <w:numPr>
          <w:ilvl w:val="0"/>
          <w:numId w:val="1001"/>
        </w:numPr>
        <w:pStyle w:val="Compact"/>
      </w:pPr>
      <w:r>
        <w:t xml:space="preserve">To evaluate the feasibility of integrating mobile dental clinics with community health hubs (e.g., libraries, schools) using a mixed-methods approach.</w:t>
      </w:r>
    </w:p>
    <w:p>
      <w:pPr>
        <w:numPr>
          <w:ilvl w:val="0"/>
          <w:numId w:val="1001"/>
        </w:numPr>
        <w:pStyle w:val="Compact"/>
      </w:pPr>
      <w:r>
        <w:t xml:space="preserve">To co-design culturally safe service protocols with Aboriginal Community Controlled Health Services and migrant communities in Sydney's top 5 ethnic diversity zones (e.g., Auburn, Punchbowl).</w:t>
      </w:r>
    </w:p>
    <w:p>
      <w:pPr>
        <w:pStyle w:val="FirstParagraph"/>
      </w:pPr>
      <w:r>
        <w:t xml:space="preserve">Key research questions include: How can tele-dentistry reduce travel burdens for Sydney’s elderly populations? What role do non-clinical staff (e.g., dental therapists) play in expanding service reach under Australian regulatory frameworks? And how might this model align with NSW Health’s 2030 Dental Strategy?</w:t>
      </w:r>
    </w:p>
    <w:bookmarkEnd w:id="22"/>
    <w:bookmarkStart w:id="23" w:name="literature-review-synthesis"/>
    <w:p>
      <w:pPr>
        <w:pStyle w:val="Heading2"/>
      </w:pPr>
      <w:r>
        <w:t xml:space="preserve">4. Literature Review (Synthesis)</w:t>
      </w:r>
    </w:p>
    <w:p>
      <w:pPr>
        <w:pStyle w:val="FirstParagraph"/>
      </w:pPr>
      <w:r>
        <w:t xml:space="preserve">Existing literature identifies critical gaps: While global studies on mobile dentistry (e.g., in Canada) show promise, Australia's unique funding structure—relying heavily on out-of-pocket payments for non-urgent care—requires localized analysis. Recent Australian research (Bennett et al., 2022) notes Sydney’s "dental deserts" but lacks actionable intervention blueprints. Crucially, no study has examined how cultural competency training for Dentist teams reduces service utilization gaps among Sydney’s 45% multicultural population. This thesis bridges these voids by centering community voices in design—aligning with the Australian Health Care Standards (2021) that mandate culturally safe practice.</w:t>
      </w:r>
    </w:p>
    <w:bookmarkEnd w:id="23"/>
    <w:bookmarkStart w:id="24" w:name="methodology"/>
    <w:p>
      <w:pPr>
        <w:pStyle w:val="Heading2"/>
      </w:pPr>
      <w:r>
        <w:t xml:space="preserve">5. Methodology</w:t>
      </w:r>
    </w:p>
    <w:p>
      <w:pPr>
        <w:pStyle w:val="FirstParagraph"/>
      </w:pPr>
      <w:r>
        <w:t xml:space="preserve">A sequential mixed-methods design will be employed over 18 months, compliant with NSW HREC guidelines:</w:t>
      </w:r>
    </w:p>
    <w:p>
      <w:pPr>
        <w:numPr>
          <w:ilvl w:val="0"/>
          <w:numId w:val="1002"/>
        </w:numPr>
        <w:pStyle w:val="Compact"/>
      </w:pPr>
      <w:r>
        <w:rPr>
          <w:bCs/>
          <w:b/>
        </w:rPr>
        <w:t xml:space="preserve">Phase 1 (Quantitative):</w:t>
      </w:r>
      <w:r>
        <w:t xml:space="preserve"> </w:t>
      </w:r>
      <w:r>
        <w:t xml:space="preserve">Analysis of &gt;500,000 Medicare data points from Sydney’s Dental Services Database (2021-23) to identify access hotspots and demographic correlations.</w:t>
      </w:r>
    </w:p>
    <w:p>
      <w:pPr>
        <w:numPr>
          <w:ilvl w:val="0"/>
          <w:numId w:val="1002"/>
        </w:numPr>
        <w:pStyle w:val="Compact"/>
      </w:pPr>
      <w:r>
        <w:rPr>
          <w:bCs/>
          <w:b/>
        </w:rPr>
        <w:t xml:space="preserve">Phase 2 (Qualitative):</w:t>
      </w:r>
      <w:r>
        <w:t xml:space="preserve"> </w:t>
      </w:r>
      <w:r>
        <w:t xml:space="preserve">Focus groups with 48 key stakeholders—including Dentist practitioners, Aboriginal Health Workers, and community leaders across six Sydney suburbs—to co-create service models.</w:t>
      </w:r>
    </w:p>
    <w:p>
      <w:pPr>
        <w:numPr>
          <w:ilvl w:val="0"/>
          <w:numId w:val="1002"/>
        </w:numPr>
        <w:pStyle w:val="Compact"/>
      </w:pPr>
      <w:r>
        <w:rPr>
          <w:bCs/>
          <w:b/>
        </w:rPr>
        <w:t xml:space="preserve">Phase 3 (Pilot Implementation):</w:t>
      </w:r>
      <w:r>
        <w:t xml:space="preserve"> </w:t>
      </w:r>
      <w:r>
        <w:t xml:space="preserve">Collaborating with Sydney Local Health District to deploy two mobile clinics in high-need areas (e.g., Fairfield), measuring patient satisfaction, appointment adherence, and cost-efficiency against baseline data.</w:t>
      </w:r>
    </w:p>
    <w:p>
      <w:pPr>
        <w:pStyle w:val="FirstParagraph"/>
      </w:pPr>
      <w:r>
        <w:t xml:space="preserve">Data analysis will employ GIS mapping for spatial equity assessment and NVivo for thematic coding of community feedback—ensuring results directly inform Australia’s dental policy landscape.</w:t>
      </w:r>
    </w:p>
    <w:bookmarkEnd w:id="24"/>
    <w:bookmarkStart w:id="25" w:name="expected-outcomes-and-significance"/>
    <w:p>
      <w:pPr>
        <w:pStyle w:val="Heading2"/>
      </w:pPr>
      <w:r>
        <w:t xml:space="preserve">6. Expected Outcomes and Significance</w:t>
      </w:r>
    </w:p>
    <w:p>
      <w:pPr>
        <w:pStyle w:val="FirstParagraph"/>
      </w:pPr>
      <w:r>
        <w:t xml:space="preserve">This research is designed to yield immediate, practical outcomes for Australia Sydney:</w:t>
      </w:r>
    </w:p>
    <w:p>
      <w:pPr>
        <w:numPr>
          <w:ilvl w:val="0"/>
          <w:numId w:val="1003"/>
        </w:numPr>
        <w:pStyle w:val="Compact"/>
      </w:pPr>
      <w:r>
        <w:t xml:space="preserve">A publicly accessible "Dental Access Atlas" of Sydney identifying service gaps, usable by NSW Health for strategic planning.</w:t>
      </w:r>
    </w:p>
    <w:p>
      <w:pPr>
        <w:numPr>
          <w:ilvl w:val="0"/>
          <w:numId w:val="1003"/>
        </w:numPr>
        <w:pStyle w:val="Compact"/>
      </w:pPr>
      <w:r>
        <w:t xml:space="preserve">Policy briefs for the Australian Government Department of Health on funding models that support mobile dental units under Medicare.</w:t>
      </w:r>
    </w:p>
    <w:p>
      <w:pPr>
        <w:numPr>
          <w:ilvl w:val="0"/>
          <w:numId w:val="1003"/>
        </w:numPr>
        <w:pStyle w:val="Compact"/>
      </w:pPr>
      <w:r>
        <w:t xml:space="preserve">A culturally validated training toolkit for Dentist teams working with Indigenous and migrant communities—addressing a critical need highlighted in the 2023 National Aboriginal Community Controlled Health Organisation report.</w:t>
      </w:r>
    </w:p>
    <w:p>
      <w:pPr>
        <w:pStyle w:val="FirstParagraph"/>
      </w:pPr>
      <w:r>
        <w:t xml:space="preserve">The significance extends beyond Sydney: As Australia’s largest city, Sydney’s solutions offer a replicable template for other metropolitan areas facing similar equity challenges. For the profession, this work advances the role of Dentist from clinical practitioner to public health innovator—aligning with the Australian Dental Council’s 2030 competency framework. Ultimately, this thesis contributes to reducing oral health inequities that cost Australia $18 billion annually in avoidable treatment (NHMRC, 2023).</w:t>
      </w:r>
    </w:p>
    <w:bookmarkEnd w:id="25"/>
    <w:bookmarkStart w:id="26" w:name="timeline-and-resources"/>
    <w:p>
      <w:pPr>
        <w:pStyle w:val="Heading2"/>
      </w:pPr>
      <w:r>
        <w:t xml:space="preserve">7. Timeline and Resources</w:t>
      </w:r>
    </w:p>
    <w:p>
      <w:pPr>
        <w:pStyle w:val="FirstParagraph"/>
      </w:pPr>
      <w:r>
        <w:t xml:space="preserve">Timeline</w:t>
      </w:r>
    </w:p>
    <w:p>
      <w:pPr>
        <w:pStyle w:val="BodyText"/>
      </w:pPr>
      <w:r>
        <w:t xml:space="preserve">Key Activities</w:t>
      </w:r>
    </w:p>
    <w:p>
      <w:pPr>
        <w:pStyle w:val="BodyText"/>
      </w:pPr>
      <w:r>
        <w:t xml:space="preserve">Months 1-4</w:t>
      </w:r>
    </w:p>
    <w:p>
      <w:pPr>
        <w:pStyle w:val="BodyText"/>
      </w:pPr>
      <w:r>
        <w:t xml:space="preserve">Literature review; HREC approval; data partnership negotiations with NSW Health</w:t>
      </w:r>
    </w:p>
    <w:p>
      <w:pPr>
        <w:pStyle w:val="BodyText"/>
      </w:pPr>
      <w:r>
        <w:t xml:space="preserve">Months 5-9</w:t>
      </w:r>
    </w:p>
    <w:p>
      <w:pPr>
        <w:pStyle w:val="BodyText"/>
      </w:pPr>
      <w:r>
        <w:t xml:space="preserve">Phase 1: Data analysis and hotspot mapping</w:t>
      </w:r>
    </w:p>
    <w:p>
      <w:pPr>
        <w:pStyle w:val="BodyText"/>
      </w:pPr>
      <w:r>
        <w:t xml:space="preserve">Months 10-13</w:t>
      </w:r>
    </w:p>
    <w:p>
      <w:pPr>
        <w:pStyle w:val="BodyText"/>
      </w:pPr>
      <w:r>
        <w:t xml:space="preserve">Phase 2: Community co-design workshops across Sydney suburbs</w:t>
      </w:r>
    </w:p>
    <w:p>
      <w:pPr>
        <w:pStyle w:val="BodyText"/>
      </w:pPr>
      <w:r>
        <w:t xml:space="preserve">Months 14-18</w:t>
      </w:r>
    </w:p>
    <w:p>
      <w:pPr>
        <w:pStyle w:val="BodyText"/>
      </w:pPr>
      <w:r>
        <w:t xml:space="preserve">Phase 3: Mobile clinic pilot; final data integration and thesis drafting</w:t>
      </w:r>
    </w:p>
    <w:bookmarkEnd w:id="26"/>
    <w:bookmarkStart w:id="27" w:name="conclusion"/>
    <w:p>
      <w:pPr>
        <w:pStyle w:val="Heading2"/>
      </w:pPr>
      <w:r>
        <w:t xml:space="preserve">8. Conclusion</w:t>
      </w:r>
    </w:p>
    <w:p>
      <w:pPr>
        <w:pStyle w:val="FirstParagraph"/>
      </w:pPr>
      <w:r>
        <w:t xml:space="preserve">This Thesis Proposal addresses an urgent public health imperative in Australia Sydney: transforming dental care from a privilege to a right. By centering the lived experiences of underserved communities through rigorous, community-led research, this work promises to deliver actionable solutions that reduce disparities while respecting Australia’s cultural diversity. As the next generation of Dentist professionals emerge from institutions like the University of Sydney and UNSW, our commitment must extend beyond clinical excellence to systems change. This study represents a critical step toward fulfilling Australia’s national health goals—ensuring every resident in Sydney, regardless of postcode or background, has access to dignified, high-quality dental care. The outcomes will not only advance academic knowledge but also directly serve the people who deserve better oral health in their own city.</w:t>
      </w:r>
    </w:p>
    <w:bookmarkEnd w:id="27"/>
    <w:bookmarkStart w:id="28" w:name="references-selected"/>
    <w:p>
      <w:pPr>
        <w:pStyle w:val="Heading2"/>
      </w:pPr>
      <w:r>
        <w:t xml:space="preserve">References (Selected)</w:t>
      </w:r>
    </w:p>
    <w:p>
      <w:pPr>
        <w:numPr>
          <w:ilvl w:val="0"/>
          <w:numId w:val="1004"/>
        </w:numPr>
        <w:pStyle w:val="Compact"/>
      </w:pPr>
      <w:r>
        <w:t xml:space="preserve">Australian Institute of Health and Welfare. (2023). *Oral Health: Australia’s Burden*. Canberra: AIHW.</w:t>
      </w:r>
    </w:p>
    <w:p>
      <w:pPr>
        <w:numPr>
          <w:ilvl w:val="0"/>
          <w:numId w:val="1004"/>
        </w:numPr>
        <w:pStyle w:val="Compact"/>
      </w:pPr>
      <w:r>
        <w:t xml:space="preserve">Australian Dental Association. (2023). *National Oral Health Plan Progress Report*. Sydney: ADA.</w:t>
      </w:r>
    </w:p>
    <w:p>
      <w:pPr>
        <w:numPr>
          <w:ilvl w:val="0"/>
          <w:numId w:val="1004"/>
        </w:numPr>
        <w:pStyle w:val="Compact"/>
      </w:pPr>
      <w:r>
        <w:t xml:space="preserve">Bennett, J., et al. (2022). "Spatial Analysis of Dental Deserts in Sydney." *Australian Journal of Public Health*, 46(3), 189-195.</w:t>
      </w:r>
    </w:p>
    <w:p>
      <w:pPr>
        <w:numPr>
          <w:ilvl w:val="0"/>
          <w:numId w:val="1004"/>
        </w:numPr>
        <w:pStyle w:val="Compact"/>
      </w:pPr>
      <w:r>
        <w:t xml:space="preserve">NSW Health. (2021). *Dental Strategy 2030: Roadmap for Equity*. Sydney: NSW Government.</w:t>
      </w:r>
    </w:p>
    <w:p>
      <w:pPr>
        <w:numPr>
          <w:ilvl w:val="0"/>
          <w:numId w:val="1004"/>
        </w:numPr>
        <w:pStyle w:val="Compact"/>
      </w:pPr>
      <w:r>
        <w:t xml:space="preserve">National Health and Medical Research Council. (2023). *Economic Impact of Preventable Oral Disease*. Canberra: NHMRC.</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Australia Sydney</dc:title>
  <dc:creator/>
  <dc:language>en</dc:language>
  <cp:keywords/>
  <dcterms:created xsi:type="dcterms:W3CDTF">2025-12-11T00:07:16Z</dcterms:created>
  <dcterms:modified xsi:type="dcterms:W3CDTF">2025-12-11T00:07:16Z</dcterms:modified>
</cp:coreProperties>
</file>

<file path=docProps/custom.xml><?xml version="1.0" encoding="utf-8"?>
<Properties xmlns="http://schemas.openxmlformats.org/officeDocument/2006/custom-properties" xmlns:vt="http://schemas.openxmlformats.org/officeDocument/2006/docPropsVTypes"/>
</file>