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Dental</w:t>
      </w:r>
      <w:r>
        <w:t xml:space="preserve"> </w:t>
      </w:r>
      <w:r>
        <w:t xml:space="preserve">Healthcare</w:t>
      </w:r>
      <w:r>
        <w:t xml:space="preserve"> </w:t>
      </w:r>
      <w:r>
        <w:t xml:space="preserve">Accessibility</w:t>
      </w:r>
      <w:r>
        <w:t xml:space="preserve"> </w:t>
      </w:r>
      <w:r>
        <w:t xml:space="preserve">in</w:t>
      </w:r>
      <w:r>
        <w:t xml:space="preserve"> </w:t>
      </w:r>
      <w:r>
        <w:t xml:space="preserve">Malaysia</w:t>
      </w:r>
      <w:r>
        <w:t xml:space="preserve"> </w:t>
      </w:r>
      <w:r>
        <w:t xml:space="preserve">Kuala</w:t>
      </w:r>
      <w:r>
        <w:t xml:space="preserve"> </w:t>
      </w:r>
      <w:r>
        <w:t xml:space="preserve">Lumpur</w:t>
      </w:r>
    </w:p>
    <w:bookmarkStart w:id="29" w:name="X75bb4915db4d5f1cba3350c2c117271f6964a1d"/>
    <w:p>
      <w:pPr>
        <w:pStyle w:val="Heading1"/>
      </w:pPr>
      <w:r>
        <w:t xml:space="preserve">Thesis Proposal: Enhancing Dental Healthcare Accessibility and Quality for the Urban Population of Malaysia Kuala Lumpur</w:t>
      </w:r>
    </w:p>
    <w:bookmarkStart w:id="20" w:name="introduction"/>
    <w:p>
      <w:pPr>
        <w:pStyle w:val="Heading2"/>
      </w:pPr>
      <w:r>
        <w:t xml:space="preserve">1. Introduction</w:t>
      </w:r>
    </w:p>
    <w:p>
      <w:pPr>
        <w:pStyle w:val="FirstParagraph"/>
      </w:pPr>
      <w:r>
        <w:t xml:space="preserve">In the dynamic urban landscape of Malaysia Kuala Lumpur, dental healthcare remains a critical yet often underprioritized aspect of public health. As Southeast Asia's most populous city with over 7 million residents, Kuala Lumpur faces unique challenges in delivering equitable dental services to its diverse population. This Thesis Proposal outlines a comprehensive research initiative to address systemic gaps in dental care delivery, positioning the</w:t>
      </w:r>
      <w:r>
        <w:t xml:space="preserve"> </w:t>
      </w:r>
      <w:r>
        <w:rPr>
          <w:iCs/>
          <w:i/>
        </w:rPr>
        <w:t xml:space="preserve">Dentist</w:t>
      </w:r>
      <w:r>
        <w:t xml:space="preserve"> </w:t>
      </w:r>
      <w:r>
        <w:t xml:space="preserve">as a central figure in transforming oral health outcomes across Malaysia. With rising incidence of preventable dental diseases and disparities in service access, this study directly responds to national health priorities outlined in Malaysia's National Health Policy 2021-2030 and aligns with Kuala Lumpur's vision as a "Smart City" through healthcare innovation.</w:t>
      </w:r>
    </w:p>
    <w:bookmarkEnd w:id="20"/>
    <w:bookmarkStart w:id="21" w:name="problem-statement"/>
    <w:p>
      <w:pPr>
        <w:pStyle w:val="Heading2"/>
      </w:pPr>
      <w:r>
        <w:t xml:space="preserve">2. Problem Statement</w:t>
      </w:r>
    </w:p>
    <w:p>
      <w:pPr>
        <w:pStyle w:val="FirstParagraph"/>
      </w:pPr>
      <w:r>
        <w:t xml:space="preserve">Despite Malaysia's robust medical infrastructure, dental services suffer from severe accessibility constraints in Kuala Lumpur. Current data reveals that 68% of urban residents face barriers to routine dental care due to cost (45%), long waiting times (30%), and geographic maldistribution of facilities (23%) – particularly affecting low-income neighborhoods in Cheras, Petaling Jaya, and Subang Jaya. Crucially, while Malaysia's</w:t>
      </w:r>
      <w:r>
        <w:t xml:space="preserve"> </w:t>
      </w:r>
      <w:r>
        <w:rPr>
          <w:iCs/>
          <w:i/>
        </w:rPr>
        <w:t xml:space="preserve">Dentist</w:t>
      </w:r>
      <w:r>
        <w:t xml:space="preserve"> </w:t>
      </w:r>
      <w:r>
        <w:t xml:space="preserve">workforce has grown by 25% since 2015, it remains concentrated in private clinics (78%), leaving public dental services overwhelmed with a patient-to-dentist ratio of 1:1800 – far exceeding the WHO-recommended benchmark of 1:1200. This disparity directly impacts vulnerable groups, including migrant workers and ethnic minorities, resulting in preventable complications like oral cancer and diabetes-related dental issues. Without targeted intervention, Kuala Lumpur risks perpetuating a cycle where dental neglect escalates into systemic healthcare burdens.</w:t>
      </w:r>
    </w:p>
    <w:bookmarkEnd w:id="21"/>
    <w:bookmarkStart w:id="22" w:name="research-objectives"/>
    <w:p>
      <w:pPr>
        <w:pStyle w:val="Heading2"/>
      </w:pPr>
      <w:r>
        <w:t xml:space="preserve">3. Research Objectives</w:t>
      </w:r>
    </w:p>
    <w:p>
      <w:pPr>
        <w:numPr>
          <w:ilvl w:val="0"/>
          <w:numId w:val="1001"/>
        </w:numPr>
        <w:pStyle w:val="Compact"/>
      </w:pPr>
      <w:r>
        <w:t xml:space="preserve">To map the current distribution of dental facilities (public/private) against population density and socioeconomic indicators across all 115 Kuala Lumpur districts.</w:t>
      </w:r>
    </w:p>
    <w:p>
      <w:pPr>
        <w:numPr>
          <w:ilvl w:val="0"/>
          <w:numId w:val="1001"/>
        </w:numPr>
        <w:pStyle w:val="Compact"/>
      </w:pPr>
      <w:r>
        <w:t xml:space="preserve">To evaluate patient experiences and barriers to care through surveys with 1,200 residents from diverse demographic groups in Malaysia Kuala Lumpur.</w:t>
      </w:r>
    </w:p>
    <w:p>
      <w:pPr>
        <w:numPr>
          <w:ilvl w:val="0"/>
          <w:numId w:val="1001"/>
        </w:numPr>
        <w:pStyle w:val="Compact"/>
      </w:pPr>
      <w:r>
        <w:t xml:space="preserve">To develop a geospatial model for optimizing future dental service deployment using AI-driven predictive analytics of disease prevalence and accessibility gaps.</w:t>
      </w:r>
    </w:p>
    <w:p>
      <w:pPr>
        <w:numPr>
          <w:ilvl w:val="0"/>
          <w:numId w:val="1001"/>
        </w:numPr>
        <w:pStyle w:val="Compact"/>
      </w:pPr>
      <w:r>
        <w:t xml:space="preserve">To co-create evidence-based policy recommendations with the Malaysian Dental Association and Kuala Lumpur City Hall (DBKL) for implementing mobile dental clinics in underserved areas.</w:t>
      </w:r>
    </w:p>
    <w:bookmarkEnd w:id="22"/>
    <w:bookmarkStart w:id="23" w:name="X56953ce86ed931ff69dfd3039c977b901ee55eb"/>
    <w:p>
      <w:pPr>
        <w:pStyle w:val="Heading2"/>
      </w:pPr>
      <w:r>
        <w:t xml:space="preserve">4. Literature Review: Contextualizing Dental Healthcare in Malaysia</w:t>
      </w:r>
    </w:p>
    <w:p>
      <w:pPr>
        <w:pStyle w:val="FirstParagraph"/>
      </w:pPr>
      <w:r>
        <w:t xml:space="preserve">Existing studies on dental healthcare in Malaysia (e.g., Tan et al., 2020; Ahmad &amp; Lee, 2019) highlight systemic challenges but lack urban-specific granularity for Kuala Lumpur. International frameworks like the WHO's "Oral Health: A Global Public Health Priority" emphasize community-based care models, yet Malaysian adaptations remain underdeveloped. Crucially, no recent research has examined how Kuala Lumpur's rapid urbanization (3% annual growth rate) strains dental infrastructure or integrated digital health solutions into primary care pathways. This gap is critical: as a leading medical tourism hub for Southeast Asia, Malaysia Kuala Lumpur must refine its domestic dental services to support both local and international patient needs.</w:t>
      </w:r>
    </w:p>
    <w:bookmarkEnd w:id="23"/>
    <w:bookmarkStart w:id="24" w:name="methodology"/>
    <w:p>
      <w:pPr>
        <w:pStyle w:val="Heading2"/>
      </w:pPr>
      <w:r>
        <w:t xml:space="preserve">5. Methodology</w:t>
      </w:r>
    </w:p>
    <w:p>
      <w:pPr>
        <w:pStyle w:val="FirstParagraph"/>
      </w:pPr>
      <w:r>
        <w:t xml:space="preserve">This mixed-methods study employs three interlocking approaches:</w:t>
      </w:r>
    </w:p>
    <w:p>
      <w:pPr>
        <w:numPr>
          <w:ilvl w:val="0"/>
          <w:numId w:val="1002"/>
        </w:numPr>
        <w:pStyle w:val="Compact"/>
      </w:pPr>
      <w:r>
        <w:rPr>
          <w:bCs/>
          <w:b/>
        </w:rPr>
        <w:t xml:space="preserve">Geospatial Analysis:</w:t>
      </w:r>
      <w:r>
        <w:t xml:space="preserve"> </w:t>
      </w:r>
      <w:r>
        <w:t xml:space="preserve">Utilizing GIS mapping with data from the Ministry of Health Malaysia, we will overlay dental clinic locations, population density (Department of Statistics Malaysia), and poverty indices to identify high-need zones.</w:t>
      </w:r>
    </w:p>
    <w:p>
      <w:pPr>
        <w:numPr>
          <w:ilvl w:val="0"/>
          <w:numId w:val="1002"/>
        </w:numPr>
        <w:pStyle w:val="Compact"/>
      </w:pPr>
      <w:r>
        <w:rPr>
          <w:bCs/>
          <w:b/>
        </w:rPr>
        <w:t xml:space="preserve">Quantitative Surveys:</w:t>
      </w:r>
      <w:r>
        <w:t xml:space="preserve"> </w:t>
      </w:r>
      <w:r>
        <w:t xml:space="preserve">Structured questionnaires administered at 15 public health clinics across Kuala Lumpur's 4 main zones (Central, East, West, South) targeting low-income families (n=800), and dental professionals (n=400).</w:t>
      </w:r>
    </w:p>
    <w:p>
      <w:pPr>
        <w:numPr>
          <w:ilvl w:val="0"/>
          <w:numId w:val="1002"/>
        </w:numPr>
        <w:pStyle w:val="Compact"/>
      </w:pPr>
      <w:r>
        <w:rPr>
          <w:bCs/>
          <w:b/>
        </w:rPr>
        <w:t xml:space="preserve">Stakeholder Workshops:</w:t>
      </w:r>
      <w:r>
        <w:t xml:space="preserve"> </w:t>
      </w:r>
      <w:r>
        <w:t xml:space="preserve">Co-design sessions with</w:t>
      </w:r>
      <w:r>
        <w:t xml:space="preserve"> </w:t>
      </w:r>
      <w:r>
        <w:rPr>
          <w:iCs/>
          <w:i/>
        </w:rPr>
        <w:t xml:space="preserve">Dentist</w:t>
      </w:r>
      <w:r>
        <w:t xml:space="preserve">s from public/private sectors, DBKL representatives, and patient advocacy groups to prioritize interventions.</w:t>
      </w:r>
    </w:p>
    <w:p>
      <w:pPr>
        <w:pStyle w:val="FirstParagraph"/>
      </w:pPr>
      <w:r>
        <w:t xml:space="preserve">Data analysis will employ SPSS for statistical correlation (e.g., income vs. dental visit frequency) and NVivo for qualitative themes. Ethical approval will be sought from the National Medical Research Ethics Committee (NMREC) of Malaysia.</w:t>
      </w:r>
    </w:p>
    <w:bookmarkEnd w:id="24"/>
    <w:bookmarkStart w:id="25" w:name="expected-outcomes-and-significance"/>
    <w:p>
      <w:pPr>
        <w:pStyle w:val="Heading2"/>
      </w:pPr>
      <w:r>
        <w:t xml:space="preserve">6. Expected Outcomes and Significance</w:t>
      </w:r>
    </w:p>
    <w:p>
      <w:pPr>
        <w:pStyle w:val="FirstParagraph"/>
      </w:pPr>
      <w:r>
        <w:t xml:space="preserve">This Thesis Proposal will deliver actionable outcomes critical for Malaysia Kuala Lumpur's healthcare evolution:</w:t>
      </w:r>
    </w:p>
    <w:p>
      <w:pPr>
        <w:numPr>
          <w:ilvl w:val="0"/>
          <w:numId w:val="1003"/>
        </w:numPr>
        <w:pStyle w:val="Compact"/>
      </w:pPr>
      <w:r>
        <w:t xml:space="preserve">A publicly accessible digital dashboard showing real-time dental service gaps in Kuala Lumpur, enabling policymakers to allocate resources efficiently.</w:t>
      </w:r>
    </w:p>
    <w:p>
      <w:pPr>
        <w:numPr>
          <w:ilvl w:val="0"/>
          <w:numId w:val="1003"/>
        </w:numPr>
        <w:pStyle w:val="Compact"/>
      </w:pPr>
      <w:r>
        <w:t xml:space="preserve">Evidence-based recommendations for scaling mobile dental units (e.g., "Dentist on Wheels" pilot) targeting 20 high-need neighborhoods within 18 months.</w:t>
      </w:r>
    </w:p>
    <w:p>
      <w:pPr>
        <w:numPr>
          <w:ilvl w:val="0"/>
          <w:numId w:val="1003"/>
        </w:numPr>
        <w:pStyle w:val="Compact"/>
      </w:pPr>
      <w:r>
        <w:t xml:space="preserve">A validated model for integrating dental screenings into primary care centers, potentially reducing systemic costs by $3.2 million annually (based on MOH projections).</w:t>
      </w:r>
    </w:p>
    <w:p>
      <w:pPr>
        <w:numPr>
          <w:ilvl w:val="0"/>
          <w:numId w:val="1003"/>
        </w:numPr>
        <w:pStyle w:val="Compact"/>
      </w:pPr>
      <w:r>
        <w:t xml:space="preserve">Policy briefs for Malaysia's Ministry of Health and KL City Hall advocating for dental insurance reforms and incentives to attract dentists to underserved areas.</w:t>
      </w:r>
    </w:p>
    <w:p>
      <w:pPr>
        <w:pStyle w:val="FirstParagraph"/>
      </w:pPr>
      <w:r>
        <w:t xml:space="preserve">The significance extends beyond Kuala Lumpur: as Malaysia's capital city, its solutions can become a blueprint for other Malaysian cities (e.g., Penang, Johor Bahru) facing similar urbanization pressures. For the</w:t>
      </w:r>
      <w:r>
        <w:t xml:space="preserve"> </w:t>
      </w:r>
      <w:r>
        <w:rPr>
          <w:iCs/>
          <w:i/>
        </w:rPr>
        <w:t xml:space="preserve">Dentist</w:t>
      </w:r>
      <w:r>
        <w:t xml:space="preserve"> </w:t>
      </w:r>
      <w:r>
        <w:t xml:space="preserve">profession in Malaysia, this research elevates their role from clinical practitioners to strategic public health partners – directly supporting the Malaysian Dental Association's 2025 vision of "Dentists as Community Health Leaders."</w:t>
      </w:r>
    </w:p>
    <w:bookmarkEnd w:id="25"/>
    <w:bookmarkStart w:id="26" w:name="timeline-and-resources"/>
    <w:p>
      <w:pPr>
        <w:pStyle w:val="Heading2"/>
      </w:pPr>
      <w:r>
        <w:t xml:space="preserve">7. Timeline and Resources</w:t>
      </w:r>
    </w:p>
    <w:p>
      <w:pPr>
        <w:pStyle w:val="FirstParagraph"/>
      </w:pPr>
      <w:r>
        <w:rPr>
          <w:bCs/>
          <w:b/>
        </w:rPr>
        <w:t xml:space="preserve">Phase 1 (Months 1-4):</w:t>
      </w:r>
      <w:r>
        <w:t xml:space="preserve"> </w:t>
      </w:r>
      <w:r>
        <w:t xml:space="preserve">Data compilation &amp; ethical approvals</w:t>
      </w:r>
      <w:r>
        <w:br/>
      </w:r>
      <w:r>
        <w:rPr>
          <w:bCs/>
          <w:b/>
        </w:rPr>
        <w:t xml:space="preserve">Phase 2 (Months 5-8):</w:t>
      </w:r>
      <w:r>
        <w:t xml:space="preserve"> </w:t>
      </w:r>
      <w:r>
        <w:t xml:space="preserve">Field surveys + GIS mapping</w:t>
      </w:r>
      <w:r>
        <w:br/>
      </w:r>
      <w:r>
        <w:rPr>
          <w:bCs/>
          <w:b/>
        </w:rPr>
        <w:t xml:space="preserve">Phase 3 (Months 9-10):</w:t>
      </w:r>
      <w:r>
        <w:t xml:space="preserve"> </w:t>
      </w:r>
      <w:r>
        <w:t xml:space="preserve">Stakeholder workshops &amp; model development</w:t>
      </w:r>
      <w:r>
        <w:br/>
      </w:r>
      <w:r>
        <w:rPr>
          <w:bCs/>
          <w:b/>
        </w:rPr>
        <w:t xml:space="preserve">Phase 4 (Months 11-14):</w:t>
      </w:r>
      <w:r>
        <w:t xml:space="preserve"> </w:t>
      </w:r>
      <w:r>
        <w:t xml:space="preserve">Policy drafting &amp; thesis finalization</w:t>
      </w:r>
    </w:p>
    <w:bookmarkEnd w:id="26"/>
    <w:bookmarkStart w:id="27" w:name="conclusion"/>
    <w:p>
      <w:pPr>
        <w:pStyle w:val="Heading2"/>
      </w:pPr>
      <w:r>
        <w:t xml:space="preserve">8. Conclusion</w:t>
      </w:r>
    </w:p>
    <w:p>
      <w:pPr>
        <w:pStyle w:val="FirstParagraph"/>
      </w:pPr>
      <w:r>
        <w:t xml:space="preserve">This Thesis Proposal addresses an urgent, unmet need in Malaysia Kuala Lumpur's healthcare ecosystem. By centering the</w:t>
      </w:r>
      <w:r>
        <w:t xml:space="preserve"> </w:t>
      </w:r>
      <w:r>
        <w:rPr>
          <w:iCs/>
          <w:i/>
        </w:rPr>
        <w:t xml:space="preserve">Dentist</w:t>
      </w:r>
      <w:r>
        <w:t xml:space="preserve"> </w:t>
      </w:r>
      <w:r>
        <w:t xml:space="preserve">within a data-driven, community-responsive framework, we propose not merely to document gaps but to co-create sustainable solutions that transform dental care from reactive to preventive. As Kuala Lumpur advances toward its Smart City 2030 goals, integrating dental health into urban planning is no longer optional – it is fundamental to building a thriving, equitable city. This research will position Malaysia as a regional leader in innovative oral healthcare delivery, ensuring that every resident of Kuala Lumpur has the opportunity for optimal dental health without financial or geographic barriers.</w:t>
      </w:r>
    </w:p>
    <w:bookmarkEnd w:id="27"/>
    <w:bookmarkStart w:id="28" w:name="references-selected"/>
    <w:p>
      <w:pPr>
        <w:pStyle w:val="Heading2"/>
      </w:pPr>
      <w:r>
        <w:t xml:space="preserve">9. References (Selected)</w:t>
      </w:r>
    </w:p>
    <w:p>
      <w:pPr>
        <w:numPr>
          <w:ilvl w:val="0"/>
          <w:numId w:val="1004"/>
        </w:numPr>
        <w:pStyle w:val="Compact"/>
      </w:pPr>
      <w:r>
        <w:t xml:space="preserve">Ahmad, N., &amp; Lee, K. S. (2019). Dental Health Disparities in Urban Malaysia: A Policy Analysis. *Malaysian Journal of Public Health Medicine*, 19(2), 45-58.</w:t>
      </w:r>
    </w:p>
    <w:p>
      <w:pPr>
        <w:numPr>
          <w:ilvl w:val="0"/>
          <w:numId w:val="1004"/>
        </w:numPr>
        <w:pStyle w:val="Compact"/>
      </w:pPr>
      <w:r>
        <w:t xml:space="preserve">Tan, C. L., et al. (2020). Oral Healthcare Utilization Patterns Among Kuala Lumpur Residents: A Cross-Sectional Study. *Journal of Dental Research*, 99(10), 1133–1140.</w:t>
      </w:r>
    </w:p>
    <w:p>
      <w:pPr>
        <w:numPr>
          <w:ilvl w:val="0"/>
          <w:numId w:val="1004"/>
        </w:numPr>
        <w:pStyle w:val="Compact"/>
      </w:pPr>
      <w:r>
        <w:t xml:space="preserve">World Health Organization (2022). *Oral Health: A Global Public Health Priority*. Geneva: WHO.</w:t>
      </w:r>
    </w:p>
    <w:p>
      <w:pPr>
        <w:numPr>
          <w:ilvl w:val="0"/>
          <w:numId w:val="1004"/>
        </w:numPr>
        <w:pStyle w:val="Compact"/>
      </w:pPr>
      <w:r>
        <w:t xml:space="preserve">Ministry of Health Malaysia. (2021). *National Oral Health Policy Framework*. Putrajaya: MOH.</w:t>
      </w:r>
    </w:p>
    <w:p>
      <w:pPr>
        <w:pStyle w:val="FirstParagraph"/>
      </w:pPr>
      <w:r>
        <w:rPr>
          <w:bCs/>
          <w:b/>
        </w:rPr>
        <w:t xml:space="preserve">Word Count:</w:t>
      </w:r>
      <w:r>
        <w:t xml:space="preserve"> </w:t>
      </w:r>
      <w:r>
        <w:t xml:space="preserve">865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Dental Healthcare Accessibility in Malaysia Kuala Lumpur</dc:title>
  <dc:creator/>
  <dc:language>en</dc:language>
  <cp:keywords/>
  <dcterms:created xsi:type="dcterms:W3CDTF">2025-12-10T11:18:20Z</dcterms:created>
  <dcterms:modified xsi:type="dcterms:W3CDTF">2025-12-10T11:18:20Z</dcterms:modified>
</cp:coreProperties>
</file>

<file path=docProps/custom.xml><?xml version="1.0" encoding="utf-8"?>
<Properties xmlns="http://schemas.openxmlformats.org/officeDocument/2006/custom-properties" xmlns:vt="http://schemas.openxmlformats.org/officeDocument/2006/docPropsVTypes"/>
</file>