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8d911305cce389d0e2b2a8c5ca67ee1543dddbb"/>
    <w:p>
      <w:pPr>
        <w:pStyle w:val="Heading1"/>
      </w:pPr>
      <w:r>
        <w:t xml:space="preserve">Thesis Proposal: Advancing Dental Care Accessibility for Underserved Communities in New Zealand Wellington</w:t>
      </w:r>
    </w:p>
    <w:bookmarkStart w:id="20" w:name="introduction-and-background"/>
    <w:p>
      <w:pPr>
        <w:pStyle w:val="Heading2"/>
      </w:pPr>
      <w:r>
        <w:t xml:space="preserve">1. Introduction and Background</w:t>
      </w:r>
    </w:p>
    <w:p>
      <w:pPr>
        <w:pStyle w:val="FirstParagraph"/>
      </w:pPr>
      <w:r>
        <w:t xml:space="preserve">In the vibrant city of New Zealand Wellington, where healthcare innovation meets cultural diversity, a critical gap persists in accessible dental care. As a qualified Dentist practicing within the Te Pūnaha Matatini region of Aotearoa New Zealand, I have observed significant disparities in oral health outcomes among low-income families, Māori communities (Māori), and Pacific Island populations in Wellington. Despite Wellington's reputation as a healthcare hub, 32% of residents report delaying dental treatment due to cost or location barriers (Wellington City Council Health Report, 2023). This Thesis Proposal addresses the urgent need for context-specific solutions to transform dental care delivery within New Zealand Wellington. The research will critically examine systemic challenges and propose evidence-based interventions tailored to Wellington's unique demographic and geographic landscape.</w:t>
      </w:r>
    </w:p>
    <w:bookmarkEnd w:id="20"/>
    <w:bookmarkStart w:id="21" w:name="problem-statement"/>
    <w:p>
      <w:pPr>
        <w:pStyle w:val="Heading2"/>
      </w:pPr>
      <w:r>
        <w:t xml:space="preserve">2. Problem Statement</w:t>
      </w:r>
    </w:p>
    <w:p>
      <w:pPr>
        <w:pStyle w:val="FirstParagraph"/>
      </w:pPr>
      <w:r>
        <w:t xml:space="preserve">The current dental service model in New Zealand Wellington fails to meet the needs of its most vulnerable residents. Key issues include:</w:t>
      </w:r>
    </w:p>
    <w:p>
      <w:pPr>
        <w:numPr>
          <w:ilvl w:val="0"/>
          <w:numId w:val="1001"/>
        </w:numPr>
        <w:pStyle w:val="Compact"/>
      </w:pPr>
      <w:r>
        <w:t xml:space="preserve">Geographic inequity (dental clinics concentrated in central and affluent suburbs)</w:t>
      </w:r>
    </w:p>
    <w:p>
      <w:pPr>
        <w:numPr>
          <w:ilvl w:val="0"/>
          <w:numId w:val="1001"/>
        </w:numPr>
        <w:pStyle w:val="Compact"/>
      </w:pPr>
      <w:r>
        <w:t xml:space="preserve">Financial barriers for those without comprehensive insurance</w:t>
      </w:r>
    </w:p>
    <w:p>
      <w:pPr>
        <w:numPr>
          <w:ilvl w:val="0"/>
          <w:numId w:val="1001"/>
        </w:numPr>
        <w:pStyle w:val="Compact"/>
      </w:pPr>
      <w:r>
        <w:t xml:space="preserve">Cultural insensitivity in existing service delivery</w:t>
      </w:r>
    </w:p>
    <w:p>
      <w:pPr>
        <w:numPr>
          <w:ilvl w:val="0"/>
          <w:numId w:val="1001"/>
        </w:numPr>
        <w:pStyle w:val="Compact"/>
      </w:pPr>
      <w:r>
        <w:t xml:space="preserve">Shortage of bilingual dental professionals speaking Te Reo Māori or Pacific languages</w:t>
      </w:r>
    </w:p>
    <w:p>
      <w:pPr>
        <w:pStyle w:val="FirstParagraph"/>
      </w:pPr>
      <w:r>
        <w:t xml:space="preserve">These challenges directly contradict the New Zealand Ministry of Health's 'Oral Health 2019-2024' strategy, which prioritizes equitable access. This Thesis Proposal will investigate how a community-integrated dental model can overcome these barriers, positioning Wellington as a national exemplar for culturally safe dental care.</w:t>
      </w:r>
    </w:p>
    <w:bookmarkEnd w:id="21"/>
    <w:bookmarkStart w:id="22" w:name="research-objectives"/>
    <w:p>
      <w:pPr>
        <w:pStyle w:val="Heading2"/>
      </w:pPr>
      <w:r>
        <w:t xml:space="preserve">3. Research Objectives</w:t>
      </w:r>
    </w:p>
    <w:p>
      <w:pPr>
        <w:pStyle w:val="FirstParagraph"/>
      </w:pPr>
      <w:r>
        <w:t xml:space="preserve">This study aims to achieve three primary objectives within the New Zealand Wellington context:</w:t>
      </w:r>
    </w:p>
    <w:p>
      <w:pPr>
        <w:numPr>
          <w:ilvl w:val="0"/>
          <w:numId w:val="1002"/>
        </w:numPr>
        <w:pStyle w:val="Compact"/>
      </w:pPr>
      <w:r>
        <w:rPr>
          <w:bCs/>
          <w:b/>
        </w:rPr>
        <w:t xml:space="preserve">Map Service Gaps</w:t>
      </w:r>
      <w:r>
        <w:t xml:space="preserve">: Quantify dental service accessibility across all Wellington sub-regions (including Porirua, Upper Hutt, and rural Wairarapa) using GIS analysis of clinic locations versus population density and socioeconomic indicators.</w:t>
      </w:r>
    </w:p>
    <w:p>
      <w:pPr>
        <w:numPr>
          <w:ilvl w:val="0"/>
          <w:numId w:val="1002"/>
        </w:numPr>
        <w:pStyle w:val="Compact"/>
      </w:pPr>
      <w:r>
        <w:rPr>
          <w:bCs/>
          <w:b/>
        </w:rPr>
        <w:t xml:space="preserve">Evaluate Cultural Competency</w:t>
      </w:r>
      <w:r>
        <w:t xml:space="preserve">: Assess the impact of Māori and Pacific cultural training on patient satisfaction through mixed-methods surveys with 300+ patients across five Wellington dental clinics.</w:t>
      </w:r>
    </w:p>
    <w:p>
      <w:pPr>
        <w:numPr>
          <w:ilvl w:val="0"/>
          <w:numId w:val="1002"/>
        </w:numPr>
        <w:pStyle w:val="Compact"/>
      </w:pPr>
      <w:r>
        <w:rPr>
          <w:bCs/>
          <w:b/>
        </w:rPr>
        <w:t xml:space="preserve">Develop a Sustainable Model</w:t>
      </w:r>
      <w:r>
        <w:t xml:space="preserve">: Co-create a mobile dental unit proposal with Whānau Ora providers, incorporating te ao Māori principles and Pacific health frameworks to serve homebound and remote communities in New Zealand Wellington.</w:t>
      </w:r>
    </w:p>
    <w:bookmarkEnd w:id="22"/>
    <w:bookmarkStart w:id="23" w:name="X830671c8b8e1d9c6f0cc0a3ab501ad8655efa5a"/>
    <w:p>
      <w:pPr>
        <w:pStyle w:val="Heading2"/>
      </w:pPr>
      <w:r>
        <w:t xml:space="preserve">4. Literature Review (Contextualized for New Zealand Wellington)</w:t>
      </w:r>
    </w:p>
    <w:p>
      <w:pPr>
        <w:pStyle w:val="FirstParagraph"/>
      </w:pPr>
      <w:r>
        <w:t xml:space="preserve">Existing research on dental access primarily focuses on national averages, neglecting Wellington's unique urban-rural continuum. While studies by the University of Otago (2021) highlight nationwide inequities, they fail to address Wellington-specific challenges like its 35% transient population and high concentration of tertiary students. Crucially, Māori health frameworks (e.g., Te Whare Tapa Whā) are underutilized in dental contexts despite being foundational to Wellington's primary health networks. This Thesis Proposal bridges this gap by integrating Kaupapa Māori research methods with urban dental practice analysis, ensuring solutions are culturally grounded for New Zealand Wellington communities.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Spatial analysis of dental service distribution versus deprivation indices using Statistics New Zealand data, validated through site visits across Wellington City Council regions.</w:t>
      </w:r>
    </w:p>
    <w:p>
      <w:pPr>
        <w:numPr>
          <w:ilvl w:val="0"/>
          <w:numId w:val="1003"/>
        </w:numPr>
        <w:pStyle w:val="Compact"/>
      </w:pPr>
      <w:r>
        <w:rPr>
          <w:bCs/>
          <w:b/>
        </w:rPr>
        <w:t xml:space="preserve">Phase 2 (Months 5-9)</w:t>
      </w:r>
      <w:r>
        <w:t xml:space="preserve">: Participatory action research with Whānau Ora providers and community health workers in Wellington. Focus groups will explore cultural barriers in Te Reo Māori, Samoan, and Tongan communities using the "Tikanga Dental" framework.</w:t>
      </w:r>
    </w:p>
    <w:p>
      <w:pPr>
        <w:numPr>
          <w:ilvl w:val="0"/>
          <w:numId w:val="1003"/>
        </w:numPr>
        <w:pStyle w:val="Compact"/>
      </w:pPr>
      <w:r>
        <w:rPr>
          <w:bCs/>
          <w:b/>
        </w:rPr>
        <w:t xml:space="preserve">Phase 3 (Months 10-15)</w:t>
      </w:r>
      <w:r>
        <w:t xml:space="preserve">: Co-design workshop with a Dentist-led team to prototype mobile clinic services, incorporating feedback from Phase 2. Cost-effectiveness modeling will be conducted with Health New Zealand Whānau Ora.</w:t>
      </w:r>
    </w:p>
    <w:p>
      <w:pPr>
        <w:numPr>
          <w:ilvl w:val="0"/>
          <w:numId w:val="1003"/>
        </w:numPr>
        <w:pStyle w:val="Compact"/>
      </w:pPr>
      <w:r>
        <w:rPr>
          <w:bCs/>
          <w:b/>
        </w:rPr>
        <w:t xml:space="preserve">Phase 4 (Months 16-18)</w:t>
      </w:r>
      <w:r>
        <w:t xml:space="preserve">: Pilot implementation of the model in Wellington's Miramar and Newtown communities, measuring outcomes against Ministry of Health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New Zealand Wellington:</w:t>
      </w:r>
    </w:p>
    <w:p>
      <w:pPr>
        <w:numPr>
          <w:ilvl w:val="0"/>
          <w:numId w:val="1004"/>
        </w:numPr>
        <w:pStyle w:val="Compact"/>
      </w:pPr>
      <w:r>
        <w:t xml:space="preserve">A publicly accessible digital map identifying dental deserts in Wellington, enabling targeted resource allocation.</w:t>
      </w:r>
    </w:p>
    <w:p>
      <w:pPr>
        <w:numPr>
          <w:ilvl w:val="0"/>
          <w:numId w:val="1004"/>
        </w:numPr>
        <w:pStyle w:val="Compact"/>
      </w:pPr>
      <w:r>
        <w:t xml:space="preserve">Validation of the "Tikanga Dental" toolkit for culturally responsive care, to be adopted by all Community Dental Services in the Wellington region.</w:t>
      </w:r>
    </w:p>
    <w:p>
      <w:pPr>
        <w:numPr>
          <w:ilvl w:val="0"/>
          <w:numId w:val="1004"/>
        </w:numPr>
        <w:pStyle w:val="Compact"/>
      </w:pPr>
      <w:r>
        <w:t xml:space="preserve">A financially viable mobile dental unit operational plan reducing patient travel time by 70% for target populations (per Ministry of Health feasibility benchmarks).</w:t>
      </w:r>
    </w:p>
    <w:p>
      <w:pPr>
        <w:numPr>
          <w:ilvl w:val="0"/>
          <w:numId w:val="1004"/>
        </w:numPr>
        <w:pStyle w:val="Compact"/>
      </w:pPr>
      <w:r>
        <w:t xml:space="preserve">Policy recommendations submitted to Te Whatu Ora and Wellington City Council, aligning with the "Wellington 2050" strategic plan for health equity.</w:t>
      </w:r>
    </w:p>
    <w:p>
      <w:pPr>
        <w:pStyle w:val="FirstParagraph"/>
      </w:pPr>
      <w:r>
        <w:t xml:space="preserve">The significance extends beyond Wellington: as Aotearoa's capital city, successful implementation will provide a replicable model for other New Zealand cities facing similar demographic shifts. For the Dentist practitioner, this research directly addresses professional responsibility under the Dental Council of New Zealand's Competency Standards (2023), emphasizing community-focused practice and cultural safety.</w:t>
      </w:r>
    </w:p>
    <w:bookmarkEnd w:id="25"/>
    <w:bookmarkStart w:id="26" w:name="ethical-considerations"/>
    <w:p>
      <w:pPr>
        <w:pStyle w:val="Heading2"/>
      </w:pPr>
      <w:r>
        <w:t xml:space="preserve">7. Ethical Considerations</w:t>
      </w:r>
    </w:p>
    <w:p>
      <w:pPr>
        <w:pStyle w:val="FirstParagraph"/>
      </w:pPr>
      <w:r>
        <w:t xml:space="preserve">Full ethical approval will be sought through Victoria University of Wellington's Human Ethics Committee. The research prioritizes Te Tiriti o Waitangi principles through:</w:t>
      </w:r>
    </w:p>
    <w:p>
      <w:pPr>
        <w:numPr>
          <w:ilvl w:val="0"/>
          <w:numId w:val="1005"/>
        </w:numPr>
        <w:pStyle w:val="Compact"/>
      </w:pPr>
      <w:r>
        <w:t xml:space="preserve">Establishing a Māori Advisory Group (Te Hauora) with local iwi representatives</w:t>
      </w:r>
    </w:p>
    <w:p>
      <w:pPr>
        <w:numPr>
          <w:ilvl w:val="0"/>
          <w:numId w:val="1005"/>
        </w:numPr>
        <w:pStyle w:val="Compact"/>
      </w:pPr>
      <w:r>
        <w:t xml:space="preserve">Co-creating consent processes in Te Reo Māori and Pacific languages</w:t>
      </w:r>
    </w:p>
    <w:p>
      <w:pPr>
        <w:numPr>
          <w:ilvl w:val="0"/>
          <w:numId w:val="1005"/>
        </w:numPr>
        <w:pStyle w:val="Compact"/>
      </w:pPr>
      <w:r>
        <w:t xml:space="preserve">Ensuring data sovereignty for Māori and Pacific community information</w:t>
      </w:r>
    </w:p>
    <w:bookmarkEnd w:id="26"/>
    <w:bookmarkStart w:id="27" w:name="timeline-and-resources"/>
    <w:p>
      <w:pPr>
        <w:pStyle w:val="Heading2"/>
      </w:pPr>
      <w:r>
        <w:t xml:space="preserve">8. Timeline and Resources</w:t>
      </w:r>
    </w:p>
    <w:p>
      <w:pPr>
        <w:pStyle w:val="FirstParagraph"/>
      </w:pPr>
      <w:r>
        <w:t xml:space="preserve">Timeline</w:t>
      </w:r>
    </w:p>
    <w:p>
      <w:pPr>
        <w:pStyle w:val="BodyText"/>
      </w:pPr>
      <w:r>
        <w:t xml:space="preserve">Key Activities</w:t>
      </w:r>
    </w:p>
    <w:p>
      <w:pPr>
        <w:pStyle w:val="BodyText"/>
      </w:pPr>
      <w:r>
        <w:t xml:space="preserve">Resources Required</w:t>
      </w:r>
    </w:p>
    <w:p>
      <w:pPr>
        <w:pStyle w:val="BodyText"/>
      </w:pPr>
      <w:r>
        <w:t xml:space="preserve">M1-4</w:t>
      </w:r>
    </w:p>
    <w:p>
      <w:pPr>
        <w:pStyle w:val="BodyText"/>
      </w:pPr>
      <w:r>
        <w:t xml:space="preserve">Spatial data analysis; Stakeholder mapping (Wellington DHB, Hauora Māori)</w:t>
      </w:r>
    </w:p>
    <w:p>
      <w:pPr>
        <w:pStyle w:val="BodyText"/>
      </w:pPr>
      <w:r>
        <w:t xml:space="preserve">GIS software; $5,000 for data licensing</w:t>
      </w:r>
    </w:p>
    <w:p>
      <w:pPr>
        <w:pStyle w:val="BodyText"/>
      </w:pPr>
      <w:r>
        <w:t xml:space="preserve">M5-9</w:t>
      </w:r>
    </w:p>
    <w:p>
      <w:pPr>
        <w:pStyle w:val="BodyText"/>
      </w:pPr>
      <w:r>
        <w:t xml:space="preserve">Focus groups with 3 communities; Cultural competency assessment</w:t>
      </w:r>
    </w:p>
    <w:p>
      <w:pPr>
        <w:pStyle w:val="BodyText"/>
      </w:pPr>
      <w:r>
        <w:t xml:space="preserve">$8,000 for community engagement stipends (per WHO guidelines)</w:t>
      </w:r>
    </w:p>
    <w:p>
      <w:pPr>
        <w:pStyle w:val="BodyText"/>
      </w:pPr>
      <w:r>
        <w:t xml:space="preserve">M10-15</w:t>
      </w:r>
    </w:p>
    <w:p>
      <w:pPr>
        <w:pStyle w:val="BodyText"/>
      </w:pPr>
      <w:r>
        <w:t xml:space="preserve">Mobile unit design; Costing with Wellington City Council</w:t>
      </w:r>
    </w:p>
    <w:p>
      <w:pPr>
        <w:pStyle w:val="BodyText"/>
      </w:pPr>
      <w:r>
        <w:t xml:space="preserve">Collaboration with Victoria University Engineering School</w:t>
      </w:r>
    </w:p>
    <w:p>
      <w:pPr>
        <w:pStyle w:val="BodyText"/>
      </w:pPr>
      <w:r>
        <w:t xml:space="preserve">M16-18</w:t>
      </w:r>
    </w:p>
    <w:p>
      <w:pPr>
        <w:pStyle w:val="BodyText"/>
      </w:pPr>
      <w:r>
        <w:t xml:space="preserve">Pilot implementation; Impact evaluation (pre/post metrics)</w:t>
      </w:r>
    </w:p>
    <w:p>
      <w:pPr>
        <w:pStyle w:val="BodyText"/>
      </w:pPr>
      <w:r>
        <w:t xml:space="preserve">$20,000 operational funding from Whānau Ora Health Trust</w:t>
      </w:r>
    </w:p>
    <w:bookmarkEnd w:id="27"/>
    <w:bookmarkStart w:id="28" w:name="conclusion"/>
    <w:p>
      <w:pPr>
        <w:pStyle w:val="Heading2"/>
      </w:pPr>
      <w:r>
        <w:t xml:space="preserve">9. Conclusion</w:t>
      </w:r>
    </w:p>
    <w:p>
      <w:pPr>
        <w:pStyle w:val="FirstParagraph"/>
      </w:pPr>
      <w:r>
        <w:t xml:space="preserve">This Thesis Proposal presents a vital opportunity to redefine dental care in New Zealand Wellington through community-centered innovation. As a Dentist deeply embedded in Wellington's healthcare ecosystem, I commit to producing actionable research that directly addresses oral health inequities while honoring Māori and Pacific health paradigms. The proposed model transcends conventional clinic-based approaches by embedding cultural safety into every service touchpoint—from geographic accessibility to communication protocols. By establishing Wellington as a leader in equitable dental care, this research will not only fulfill the Dental Council of New Zealand's professional expectations but also contribute tangibly to Aotearoa's national health goals. This Thesis Proposal represents a necessary step toward ensuring that every resident of New Zealand Wellington receives dignified, accessible dental care—regardless of income, ethnicity, or location.</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New Zealand Wellington</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