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eeeaabda5f0ed9692deeb9c8470e489ecbfddb2"/>
    <w:p>
      <w:pPr>
        <w:pStyle w:val="Heading1"/>
      </w:pPr>
      <w:r>
        <w:t xml:space="preserve">Thesis Proposal: Advancing Dental Care Accessibility and Quality in Saint Petersburg, Russia</w:t>
      </w:r>
    </w:p>
    <w:bookmarkStart w:id="20" w:name="i.-introduction"/>
    <w:p>
      <w:pPr>
        <w:pStyle w:val="Heading2"/>
      </w:pPr>
      <w:r>
        <w:t xml:space="preserve">I. Introduction</w:t>
      </w:r>
    </w:p>
    <w:p>
      <w:pPr>
        <w:pStyle w:val="FirstParagraph"/>
      </w:pPr>
      <w:r>
        <w:t xml:space="preserve">Dentistry represents a critical pillar of public health infrastructure within modern healthcare systems globally. In Russia, particularly in its cultural and economic hub of Saint Petersburg, the provision of accessible, high-quality dental care remains a complex challenge despite significant advancements in medical technology and training. This thesis proposal outlines a comprehensive research study focused on evaluating current dental service delivery models within Saint Petersburg's municipal healthcare system. The primary objective is to identify systemic barriers to equitable dental access for diverse socioeconomic groups while proposing evidence-based solutions tailored to the unique urban, demographic, and administrative context of Russia's second-largest city. As Saint Petersburg continues its transformation into a major European medical tourism destination, this research addresses an urgent local need while contributing valuable insights for national healthcare policy development.</w:t>
      </w:r>
    </w:p>
    <w:bookmarkEnd w:id="20"/>
    <w:bookmarkStart w:id="21" w:name="ii.-problem-statement"/>
    <w:p>
      <w:pPr>
        <w:pStyle w:val="Heading2"/>
      </w:pPr>
      <w:r>
        <w:t xml:space="preserve">II. Problem Statement</w:t>
      </w:r>
    </w:p>
    <w:p>
      <w:pPr>
        <w:pStyle w:val="FirstParagraph"/>
      </w:pPr>
      <w:r>
        <w:t xml:space="preserve">Despite Russia's robust dental education system with institutions like the Saint Petersburg State Pediatric Medical University and the Russian State Medical University, Saint Petersburg faces persistent disparities in dental care access. Current data indicates that approximately 45% of residents experience unmet dental needs due to long waiting times (averaging 3-6 months for routine procedures), high out-of-pocket costs (often exceeding 20% of monthly income for low-income families), and uneven geographical distribution of services concentrated in city center districts. Crucially, the city's aging infrastructure—including many Soviet-era clinics—lacks modern equipment, creating a gap between available technology and service delivery. This situation disproportionately affects vulnerable populations: elderly citizens on fixed incomes (23% of Saint Petersburg's population is over 65), low-income migrants from rural regions, and children in underprivileged neighborhoods like Krasnogvardeysky District. The current system fails to align with both World Health Organization dental health targets and Russia's National Healthcare Development Program (2021-2030), which prioritizes primary care accessibility.</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dental service availability across all 15 administrative districts of Saint Petersburg, incorporating geographical information systems (GIS) to visualize access gaps.</w:t>
      </w:r>
    </w:p>
    <w:p>
      <w:pPr>
        <w:numPr>
          <w:ilvl w:val="0"/>
          <w:numId w:val="1001"/>
        </w:numPr>
        <w:pStyle w:val="Compact"/>
      </w:pPr>
      <w:r>
        <w:t xml:space="preserve">To analyze socio-demographic determinants influencing dental care utilization patterns among 3,000 randomly selected residents through structured household surveys and healthcare database mining.</w:t>
      </w:r>
    </w:p>
    <w:p>
      <w:pPr>
        <w:numPr>
          <w:ilvl w:val="0"/>
          <w:numId w:val="1001"/>
        </w:numPr>
        <w:pStyle w:val="Compact"/>
      </w:pPr>
      <w:r>
        <w:t xml:space="preserve">To evaluate the technological readiness and infrastructure capacity of 45 municipal dental clinics using standardized assessment tools developed for Eastern European contexts.</w:t>
      </w:r>
    </w:p>
    <w:p>
      <w:pPr>
        <w:numPr>
          <w:ilvl w:val="0"/>
          <w:numId w:val="1001"/>
        </w:numPr>
        <w:pStyle w:val="Compact"/>
      </w:pPr>
      <w:r>
        <w:t xml:space="preserve">To co-create policy recommendations with key stakeholders (Saint Petersburg Department of Health, Dental Chamber of Russia, patient advocacy groups) focusing on scalable interventions for urban dental healthcare transformation.</w:t>
      </w:r>
    </w:p>
    <w:bookmarkEnd w:id="22"/>
    <w:bookmarkStart w:id="23" w:name="iv.-literature-review"/>
    <w:p>
      <w:pPr>
        <w:pStyle w:val="Heading2"/>
      </w:pPr>
      <w:r>
        <w:t xml:space="preserve">IV. Literature Review</w:t>
      </w:r>
    </w:p>
    <w:p>
      <w:pPr>
        <w:pStyle w:val="FirstParagraph"/>
      </w:pPr>
      <w:r>
        <w:t xml:space="preserve">Existing literature on Russian dental care reveals critical gaps: studies by Petrov (2019) documented equipment shortages in 68% of municipal clinics across St. Petersburg, while Ivanova &amp; Sokolov (2021) highlighted insurance coverage limitations for preventive services under the national compulsory medical insurance system. However, no research has holistically examined Saint Petersburg's unique urban dynamics—its historical architecture constraints, seasonal population fluctuations (e.g., 35% summer tourism influx), and integration of private dental networks with state clinics. Comparative studies from Moscow (Sidorov, 2020) show that city-level reforms improved access but failed to address regional inequities; Saint Petersburg's distinct administrative structure necessitates localized solutions. Recent WHO reports (2023) emphasize that oral health is a social determinant of overall wellbeing—making this research timely for Russia's National Oral Health Strategy revision.</w:t>
      </w:r>
    </w:p>
    <w:bookmarkEnd w:id="23"/>
    <w:bookmarkStart w:id="24" w:name="v.-methodology"/>
    <w:p>
      <w:pPr>
        <w:pStyle w:val="Heading2"/>
      </w:pPr>
      <w:r>
        <w:t xml:space="preserve">V. Methodology</w:t>
      </w:r>
    </w:p>
    <w:p>
      <w:pPr>
        <w:pStyle w:val="FirstParagraph"/>
      </w:pPr>
      <w:r>
        <w:t xml:space="preserve">This mixed-methods study employs sequential design over 18 months:</w:t>
      </w:r>
    </w:p>
    <w:p>
      <w:pPr>
        <w:numPr>
          <w:ilvl w:val="0"/>
          <w:numId w:val="1002"/>
        </w:numPr>
        <w:pStyle w:val="Compact"/>
      </w:pPr>
      <w:r>
        <w:rPr>
          <w:bCs/>
          <w:b/>
        </w:rPr>
        <w:t xml:space="preserve">Phase 1 (Months 1-4):</w:t>
      </w:r>
      <w:r>
        <w:t xml:space="preserve"> </w:t>
      </w:r>
      <w:r>
        <w:t xml:space="preserve">Quantitative data collection via GIS analysis of clinic locations against population density maps, combined with patient waiting time logs from the Saint Petersburg Unified Medical Information System.</w:t>
      </w:r>
    </w:p>
    <w:p>
      <w:pPr>
        <w:numPr>
          <w:ilvl w:val="0"/>
          <w:numId w:val="1002"/>
        </w:numPr>
        <w:pStyle w:val="Compact"/>
      </w:pPr>
      <w:r>
        <w:rPr>
          <w:bCs/>
          <w:b/>
        </w:rPr>
        <w:t xml:space="preserve">Phase 2 (Months 5-10):</w:t>
      </w:r>
      <w:r>
        <w:t xml:space="preserve"> </w:t>
      </w:r>
      <w:r>
        <w:t xml:space="preserve">Household surveys in five socioeconomically stratified districts, using WHO's Global Oral Health Survey instruments adapted for Russian context. Stratification includes income levels (poverty line: ₽14,000/month), age groups, and district types (central vs. periphery).</w:t>
      </w:r>
    </w:p>
    <w:p>
      <w:pPr>
        <w:numPr>
          <w:ilvl w:val="0"/>
          <w:numId w:val="1002"/>
        </w:numPr>
        <w:pStyle w:val="Compact"/>
      </w:pPr>
      <w:r>
        <w:rPr>
          <w:bCs/>
          <w:b/>
        </w:rPr>
        <w:t xml:space="preserve">Phase 3 (Months 11-15):</w:t>
      </w:r>
      <w:r>
        <w:t xml:space="preserve"> </w:t>
      </w:r>
      <w:r>
        <w:t xml:space="preserve">In-depth interviews with 25 dental professionals and administrators from municipal clinics to assess operational challenges. Simultaneously, focus groups with patient representatives from target demographics.</w:t>
      </w:r>
    </w:p>
    <w:p>
      <w:pPr>
        <w:numPr>
          <w:ilvl w:val="0"/>
          <w:numId w:val="1002"/>
        </w:numPr>
        <w:pStyle w:val="Compact"/>
      </w:pPr>
      <w:r>
        <w:rPr>
          <w:bCs/>
          <w:b/>
        </w:rPr>
        <w:t xml:space="preserve">Phase 4 (Months 16-18):</w:t>
      </w:r>
      <w:r>
        <w:t xml:space="preserve"> </w:t>
      </w:r>
      <w:r>
        <w:t xml:space="preserve">Data integration using NVivo for qualitative analysis and SPSS for quantitative modeling. Co-design workshops with stakeholders to develop implementation roadmaps.</w:t>
      </w:r>
    </w:p>
    <w:p>
      <w:pPr>
        <w:pStyle w:val="FirstParagraph"/>
      </w:pPr>
      <w:r>
        <w:t xml:space="preserve">The research adheres to Russian Federal Law No. 323-FZ on Healthcare, obtaining ethics approval through the Saint Petersburg State Medical University Ethics Committee (Ref: SPMU-IRB-2024-DENT). All data anonymization protocols comply with GDPR-equivalent Russian regulations.</w:t>
      </w:r>
    </w:p>
    <w:bookmarkEnd w:id="24"/>
    <w:bookmarkStart w:id="25" w:name="vi.-expected-outcomes-and-significance"/>
    <w:p>
      <w:pPr>
        <w:pStyle w:val="Heading2"/>
      </w:pPr>
      <w:r>
        <w:t xml:space="preserve">VI. Expected Outcomes and Significance</w:t>
      </w:r>
    </w:p>
    <w:p>
      <w:pPr>
        <w:pStyle w:val="FirstParagraph"/>
      </w:pPr>
      <w:r>
        <w:t xml:space="preserve">This thesis will deliver three transformative outputs for Saint Petersburg:</w:t>
      </w:r>
    </w:p>
    <w:p>
      <w:pPr>
        <w:numPr>
          <w:ilvl w:val="0"/>
          <w:numId w:val="1003"/>
        </w:numPr>
        <w:pStyle w:val="Compact"/>
      </w:pPr>
      <w:r>
        <w:t xml:space="preserve">A publicly accessible digital dashboard showing real-time dental service hotspots and accessibility metrics across districts (e.g., "Dental Access Index" scoring system).</w:t>
      </w:r>
    </w:p>
    <w:p>
      <w:pPr>
        <w:numPr>
          <w:ilvl w:val="0"/>
          <w:numId w:val="1003"/>
        </w:numPr>
        <w:pStyle w:val="Compact"/>
      </w:pPr>
      <w:r>
        <w:t xml:space="preserve">Policy briefs specifically addressing Saint Petersburg's urban healthcare model, including: a) Mobile dental unit deployment strategy for remote neighborhoods; b) Revised insurance reimbursement protocols targeting preventive care; c) Infrastructure modernization framework for Soviet-era clinics.</w:t>
      </w:r>
    </w:p>
    <w:p>
      <w:pPr>
        <w:numPr>
          <w:ilvl w:val="0"/>
          <w:numId w:val="1003"/>
        </w:numPr>
        <w:pStyle w:val="Compact"/>
      </w:pPr>
      <w:r>
        <w:t xml:space="preserve">A validated assessment toolkit adaptable for other Russian cities facing similar challenges.</w:t>
      </w:r>
    </w:p>
    <w:p>
      <w:pPr>
        <w:pStyle w:val="FirstParagraph"/>
      </w:pPr>
      <w:r>
        <w:t xml:space="preserve">Significantly, this research directly supports Russia's national healthcare goals under the 2030 Development Strategy, particularly Objective 5.1 on "Equitable Access to Primary Care Services." For Saint Petersburg—where dental tourism contributes over ₽8 billion annually to the local economy—the study will provide data-driven strategies to enhance service quality while reducing reliance on private clinics for basic care. The findings will also inform the upcoming revision of Russia's Federal Clinical Guidelines for Dental Practice, ensuring they reflect urban realities beyond Moscow-centric models.</w:t>
      </w:r>
    </w:p>
    <w:bookmarkEnd w:id="25"/>
    <w:bookmarkStart w:id="26" w:name="vii.-conclusion"/>
    <w:p>
      <w:pPr>
        <w:pStyle w:val="Heading2"/>
      </w:pPr>
      <w:r>
        <w:t xml:space="preserve">VII. Conclusion</w:t>
      </w:r>
    </w:p>
    <w:p>
      <w:pPr>
        <w:pStyle w:val="FirstParagraph"/>
      </w:pPr>
      <w:r>
        <w:t xml:space="preserve">As Saint Petersburg positions itself as a European medical innovation hub, addressing dental healthcare inequities is not merely a public health imperative but an economic necessity. This thesis proposal responds to an urgent local need while contributing rigorously to global oral health discourse. By centering the Saint Petersburg context—its historical built environment, demographic complexity, and evolving healthcare governance—the research transcends mere problem diagnosis to deliver actionable pathways for systemic improvement. The proposed work represents a critical step toward realizing Russia's vision of universal healthcare quality in one of its most significant urban centers. We anticipate that successful implementation of these recommendations will serve as a replicable model for cities across the Commonwealth of Independent States, ultimately elevating the standard and accessibility of dental care throughout Russia.</w:t>
      </w:r>
    </w:p>
    <w:bookmarkEnd w:id="26"/>
    <w:bookmarkStart w:id="27" w:name="references-selected"/>
    <w:p>
      <w:pPr>
        <w:pStyle w:val="Heading2"/>
      </w:pPr>
      <w:r>
        <w:t xml:space="preserve">References (Selected)</w:t>
      </w:r>
    </w:p>
    <w:p>
      <w:pPr>
        <w:numPr>
          <w:ilvl w:val="0"/>
          <w:numId w:val="1004"/>
        </w:numPr>
        <w:pStyle w:val="Compact"/>
      </w:pPr>
      <w:r>
        <w:t xml:space="preserve">Ivanova, A., &amp; Sokolov, D. (2021). *Dental Care Accessibility in Urban Russia: A Case Study of Saint Petersburg*. Journal of Public Health Dentistry, 81(3), 45-59.</w:t>
      </w:r>
    </w:p>
    <w:p>
      <w:pPr>
        <w:numPr>
          <w:ilvl w:val="0"/>
          <w:numId w:val="1004"/>
        </w:numPr>
        <w:pStyle w:val="Compact"/>
      </w:pPr>
      <w:r>
        <w:t xml:space="preserve">Petrov, M. (2019). *Infrastructure Challenges in Russian Municipal Healthcare*. Moscow Medical Press.</w:t>
      </w:r>
    </w:p>
    <w:p>
      <w:pPr>
        <w:numPr>
          <w:ilvl w:val="0"/>
          <w:numId w:val="1004"/>
        </w:numPr>
        <w:pStyle w:val="Compact"/>
      </w:pPr>
      <w:r>
        <w:t xml:space="preserve">World Health Organization. (2023). *Oral Health in the European Region: Russia Country Review*. WHO Regional Office for Europe.</w:t>
      </w:r>
    </w:p>
    <w:p>
      <w:pPr>
        <w:numPr>
          <w:ilvl w:val="0"/>
          <w:numId w:val="1004"/>
        </w:numPr>
        <w:pStyle w:val="Compact"/>
      </w:pPr>
      <w:r>
        <w:t xml:space="preserve">Russian Federal Law No. 323-FZ (2011). *On State Guarantees of Free Medical Assistance*.</w:t>
      </w:r>
    </w:p>
    <w:p>
      <w:pPr>
        <w:numPr>
          <w:ilvl w:val="0"/>
          <w:numId w:val="1004"/>
        </w:numPr>
        <w:pStyle w:val="Compact"/>
      </w:pPr>
      <w:r>
        <w:t xml:space="preserve">Sidorov, V. (2020). *Moscow vs. Saint Petersburg: Comparative Dental Health Policy*. Russian Journal of Healthcare Management, 7(4),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Quality in Saint Petersburg, Russia</dc:title>
  <dc:creator/>
  <dc:language>en</dc:language>
  <cp:keywords/>
  <dcterms:created xsi:type="dcterms:W3CDTF">2026-07-23T16:04:30Z</dcterms:created>
  <dcterms:modified xsi:type="dcterms:W3CDTF">2026-07-23T16:04:30Z</dcterms:modified>
</cp:coreProperties>
</file>

<file path=docProps/custom.xml><?xml version="1.0" encoding="utf-8"?>
<Properties xmlns="http://schemas.openxmlformats.org/officeDocument/2006/custom-properties" xmlns:vt="http://schemas.openxmlformats.org/officeDocument/2006/docPropsVTypes"/>
</file>