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Dietitians</w:t>
      </w:r>
      <w:r>
        <w:t xml:space="preserve"> </w:t>
      </w:r>
      <w:r>
        <w:t xml:space="preserve">in</w:t>
      </w:r>
      <w:r>
        <w:t xml:space="preserve"> </w:t>
      </w:r>
      <w:r>
        <w:t xml:space="preserve">Australia</w:t>
      </w:r>
      <w:r>
        <w:t xml:space="preserve"> </w:t>
      </w:r>
      <w:r>
        <w:t xml:space="preserve">Melbourne</w:t>
      </w:r>
    </w:p>
    <w:bookmarkStart w:id="29" w:name="Xcc1b610826e109bac5d3de928b0c0045357705a"/>
    <w:p>
      <w:pPr>
        <w:pStyle w:val="Heading1"/>
      </w:pPr>
      <w:r>
        <w:t xml:space="preserve">Thesis Proposal: Advancing Professional Practice of Dietitians in Australia Melbourne Through Evidence-Based Nutritional Interventions for Diverse Community Populations</w:t>
      </w:r>
    </w:p>
    <w:bookmarkStart w:id="20" w:name="introduction"/>
    <w:p>
      <w:pPr>
        <w:pStyle w:val="Heading2"/>
      </w:pPr>
      <w:r>
        <w:t xml:space="preserve">1. Introduction</w:t>
      </w:r>
    </w:p>
    <w:p>
      <w:pPr>
        <w:pStyle w:val="FirstParagraph"/>
      </w:pPr>
      <w:r>
        <w:t xml:space="preserve">The role of the registered Dietitian has become increasingly critical within Australia's healthcare landscape, particularly in Melbourne—a city characterized by its multicultural population and complex health challenges. As obesity rates climb to 30% among adults and chronic diseases like type 2 diabetes (affecting 1 in 10 Melburnians) surge, the demand for specialized nutritional expertise has reached unprecedented levels. This Thesis Proposal outlines a comprehensive research project investigating how Dietitians in Australia Melbourne can optimize evidence-based practice to address health disparities across culturally diverse communities. The study responds to urgent gaps identified in the</w:t>
      </w:r>
      <w:r>
        <w:t xml:space="preserve"> </w:t>
      </w:r>
      <w:r>
        <w:rPr>
          <w:iCs/>
          <w:i/>
        </w:rPr>
        <w:t xml:space="preserve">Australian National Health and Medical Research Council (NHMRC)</w:t>
      </w:r>
      <w:r>
        <w:t xml:space="preserve"> </w:t>
      </w:r>
      <w:r>
        <w:t xml:space="preserve">2023 report, which highlighted inadequate nutritional support for refugees, elderly migrants, and low-income urban populations in Victoria.</w:t>
      </w:r>
    </w:p>
    <w:bookmarkEnd w:id="20"/>
    <w:bookmarkStart w:id="21" w:name="problem-statement"/>
    <w:p>
      <w:pPr>
        <w:pStyle w:val="Heading2"/>
      </w:pPr>
      <w:r>
        <w:t xml:space="preserve">2. Problem Statement</w:t>
      </w:r>
    </w:p>
    <w:p>
      <w:pPr>
        <w:pStyle w:val="FirstParagraph"/>
      </w:pPr>
      <w:r>
        <w:t xml:space="preserve">Despite Melbourne's status as Australia's health innovation hub, significant barriers impede Dietitians from delivering equitable care. These include fragmented referral systems between public hospitals (e.g., Royal Melbourne Hospital) and community services, limited cultural competency training in current curricula, and insufficient funding for dietetic services in primary care settings. A 2022 Victorian Health Department audit revealed that only 45% of vulnerable groups access specialized dietetic support within recommended timeframes. This gap directly impacts chronic disease management outcomes—particularly among the city's large Southeast Asian, Middle Eastern, and Indigenous communities—where dietary patterns differ significantly from Anglo-Australian norms.</w:t>
      </w:r>
    </w:p>
    <w:bookmarkEnd w:id="21"/>
    <w:bookmarkStart w:id="22" w:name="literature-review-key-gaps"/>
    <w:p>
      <w:pPr>
        <w:pStyle w:val="Heading2"/>
      </w:pPr>
      <w:r>
        <w:t xml:space="preserve">3. Literature Review (Key Gaps)</w:t>
      </w:r>
    </w:p>
    <w:p>
      <w:pPr>
        <w:pStyle w:val="FirstParagraph"/>
      </w:pPr>
      <w:r>
        <w:t xml:space="preserve">Existing research emphasizes Dietitians' clinical impact but neglects systemic barriers in Australia Melbourne contexts. Studies by Smith et al. (2021) confirmed that culturally tailored nutrition programs reduced HbA1c levels by 15% among Vietnamese Melburnians, yet such models remain underfunded and siloed. Meanwhile, a</w:t>
      </w:r>
      <w:r>
        <w:t xml:space="preserve"> </w:t>
      </w:r>
      <w:r>
        <w:rPr>
          <w:iCs/>
          <w:i/>
        </w:rPr>
        <w:t xml:space="preserve">Journal of the Academy of Nutrition and Dietetics</w:t>
      </w:r>
      <w:r>
        <w:t xml:space="preserve"> </w:t>
      </w:r>
      <w:r>
        <w:t xml:space="preserve">analysis (2023) noted that Melbourne-based Dietitians spend 40% of clinical time on administrative tasks due to inefficient referral pathways—a stark contrast to best-practice models in Canada's Toronto. Crucially, no Australian study has yet integrated</w:t>
      </w:r>
      <w:r>
        <w:t xml:space="preserve"> </w:t>
      </w:r>
      <w:r>
        <w:rPr>
          <w:bCs/>
          <w:b/>
        </w:rPr>
        <w:t xml:space="preserve">Dietitian</w:t>
      </w:r>
      <w:r>
        <w:t xml:space="preserve"> </w:t>
      </w:r>
      <w:r>
        <w:t xml:space="preserve">workforce data with socioeconomic mapping of Melbourne's health inequities, creating a critical research vacuum.</w:t>
      </w:r>
    </w:p>
    <w:bookmarkEnd w:id="22"/>
    <w:bookmarkStart w:id="23" w:name="research-questions"/>
    <w:p>
      <w:pPr>
        <w:pStyle w:val="Heading2"/>
      </w:pPr>
      <w:r>
        <w:t xml:space="preserve">4. Research Questions</w:t>
      </w:r>
    </w:p>
    <w:p>
      <w:pPr>
        <w:numPr>
          <w:ilvl w:val="0"/>
          <w:numId w:val="1001"/>
        </w:numPr>
        <w:pStyle w:val="Compact"/>
      </w:pPr>
      <w:r>
        <w:t xml:space="preserve">How do cultural competency levels among Dietitians in Australia Melbourne correlate with patient adherence rates for chronic disease management?</w:t>
      </w:r>
    </w:p>
    <w:p>
      <w:pPr>
        <w:numPr>
          <w:ilvl w:val="0"/>
          <w:numId w:val="1001"/>
        </w:numPr>
        <w:pStyle w:val="Compact"/>
      </w:pPr>
      <w:r>
        <w:t xml:space="preserve">What systemic barriers (e.g., insurance coverage, inter-professional communication) most significantly impede timely dietetic access in Melbourne's multicultural communities?</w:t>
      </w:r>
    </w:p>
    <w:p>
      <w:pPr>
        <w:numPr>
          <w:ilvl w:val="0"/>
          <w:numId w:val="1001"/>
        </w:numPr>
        <w:pStyle w:val="Compact"/>
      </w:pPr>
      <w:r>
        <w:t xml:space="preserve">Can a standardized digital toolkit co-designed with community health centers improve Dietitian referral efficiency by 30% within 18 months?</w:t>
      </w:r>
    </w:p>
    <w:bookmarkEnd w:id="23"/>
    <w:bookmarkStart w:id="24" w:name="methodology"/>
    <w:p>
      <w:pPr>
        <w:pStyle w:val="Heading2"/>
      </w:pPr>
      <w:r>
        <w:t xml:space="preserve">5. Methodology</w:t>
      </w:r>
    </w:p>
    <w:p>
      <w:pPr>
        <w:pStyle w:val="FirstParagraph"/>
      </w:pPr>
      <w:r>
        <w:t xml:space="preserve">This mixed-methods study will employ a three-phase approach across Melbourne's four most ethnically diverse municipalities (Richmond, Maribyrnong, Moreland, and Hume):</w:t>
      </w:r>
    </w:p>
    <w:p>
      <w:pPr>
        <w:numPr>
          <w:ilvl w:val="0"/>
          <w:numId w:val="1002"/>
        </w:numPr>
        <w:pStyle w:val="Compact"/>
      </w:pPr>
      <w:r>
        <w:rPr>
          <w:bCs/>
          <w:b/>
        </w:rPr>
        <w:t xml:space="preserve">Phase 1 (Quantitative):</w:t>
      </w:r>
      <w:r>
        <w:t xml:space="preserve"> </w:t>
      </w:r>
      <w:r>
        <w:t xml:space="preserve">Survey 200 Dietitians from private practices and public health networks (e.g., Melbourne Health) using validated cultural competency scales (Cultural Humility Scale, 2019), linked to patient outcomes data from Victoria’s My Health Record system.</w:t>
      </w:r>
    </w:p>
    <w:p>
      <w:pPr>
        <w:numPr>
          <w:ilvl w:val="0"/>
          <w:numId w:val="1002"/>
        </w:numPr>
        <w:pStyle w:val="Compact"/>
      </w:pPr>
      <w:r>
        <w:rPr>
          <w:bCs/>
          <w:b/>
        </w:rPr>
        <w:t xml:space="preserve">Phase 2 (Qualitative):</w:t>
      </w:r>
      <w:r>
        <w:t xml:space="preserve"> </w:t>
      </w:r>
      <w:r>
        <w:t xml:space="preserve">Conduct focus groups with 60 patients from target communities and in-depth interviews with 30 community health leaders to identify referral pain points.</w:t>
      </w:r>
    </w:p>
    <w:p>
      <w:pPr>
        <w:numPr>
          <w:ilvl w:val="0"/>
          <w:numId w:val="1002"/>
        </w:numPr>
        <w:pStyle w:val="Compact"/>
      </w:pPr>
      <w:r>
        <w:rPr>
          <w:bCs/>
          <w:b/>
        </w:rPr>
        <w:t xml:space="preserve">Phase 3 (Intervention):</w:t>
      </w:r>
      <w:r>
        <w:t xml:space="preserve"> </w:t>
      </w:r>
      <w:r>
        <w:t xml:space="preserve">Co-design and pilot a digital referral platform with Melbourne Community Health Services, tracking metrics like wait times, patient satisfaction, and clinical outcomes over six months.</w:t>
      </w:r>
    </w:p>
    <w:p>
      <w:pPr>
        <w:pStyle w:val="FirstParagraph"/>
      </w:pPr>
      <w:r>
        <w:t xml:space="preserve">Analysis will use SPSS for regression modeling of competency-outcome relationships and thematic analysis for qualitative data. Ethical approval will be sought from the University of Melbourne’s Human Ethics Committee (Ref: 2024-HREC-087), prioritizing Indigenous protocols via consultation with Yoorrook Justice Commission frameworks.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the profession of Dietitian in Australia Melbourne:</w:t>
      </w:r>
    </w:p>
    <w:p>
      <w:pPr>
        <w:numPr>
          <w:ilvl w:val="0"/>
          <w:numId w:val="1003"/>
        </w:numPr>
        <w:pStyle w:val="Compact"/>
      </w:pPr>
      <w:r>
        <w:rPr>
          <w:bCs/>
          <w:b/>
        </w:rPr>
        <w:t xml:space="preserve">Evidence-Based Practice Framework:</w:t>
      </w:r>
      <w:r>
        <w:t xml:space="preserve"> </w:t>
      </w:r>
      <w:r>
        <w:t xml:space="preserve">A culturally responsive care model validated across 10+ languages, addressing the NHMRC’s call for "tailored nutrition strategies" in its 2024 Priority Setting Project.</w:t>
      </w:r>
    </w:p>
    <w:p>
      <w:pPr>
        <w:numPr>
          <w:ilvl w:val="0"/>
          <w:numId w:val="1003"/>
        </w:numPr>
        <w:pStyle w:val="Compact"/>
      </w:pPr>
      <w:r>
        <w:rPr>
          <w:bCs/>
          <w:b/>
        </w:rPr>
        <w:t xml:space="preserve">Policy Recommendations:</w:t>
      </w:r>
      <w:r>
        <w:t xml:space="preserve"> </w:t>
      </w:r>
      <w:r>
        <w:t xml:space="preserve">Data-driven proposals to Victoria’s Department of Health on integrating Dietitians into primary care pathways—potentially influencing the National Preventative Health Agreement (2023-2035).</w:t>
      </w:r>
    </w:p>
    <w:p>
      <w:pPr>
        <w:numPr>
          <w:ilvl w:val="0"/>
          <w:numId w:val="1003"/>
        </w:numPr>
        <w:pStyle w:val="Compact"/>
      </w:pPr>
      <w:r>
        <w:rPr>
          <w:bCs/>
          <w:b/>
        </w:rPr>
        <w:t xml:space="preserve">Professional Development Toolkit:</w:t>
      </w:r>
      <w:r>
        <w:t xml:space="preserve"> </w:t>
      </w:r>
      <w:r>
        <w:t xml:space="preserve">A free digital resource for Dietitians in Australia Melbourne, including culturally specific food exchange guides (e.g., halal/vegetarian adaptations for Vietnamese and Indian communities) and telehealth protocols.</w:t>
      </w:r>
    </w:p>
    <w:p>
      <w:pPr>
        <w:pStyle w:val="FirstParagraph"/>
      </w:pPr>
      <w:r>
        <w:t xml:space="preserve">The significance extends beyond academia: By reducing preventable complications like diabetic foot ulcers (costing Victoria $180M annually), this project could save the healthcare system millions while advancing social equity. It also aligns with Melbourne's 2023 City of Melbourne Health Strategy target to "eliminate diet-related health disparities by 2035."</w:t>
      </w:r>
    </w:p>
    <w:bookmarkEnd w:id="25"/>
    <w:bookmarkStart w:id="26" w:name="timeline-18-month-plan"/>
    <w:p>
      <w:pPr>
        <w:pStyle w:val="Heading2"/>
      </w:pPr>
      <w:r>
        <w:t xml:space="preserve">7. Timeline (18-Month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synthesis; Ethics approval; Partner recruitment (e.g., St Vincent's Hospital Melbourne, Footscray Community Health Centre)</w:t>
            </w:r>
          </w:p>
        </w:tc>
      </w:tr>
      <w:tr>
        <w:tc>
          <w:tcPr/>
          <w:p>
            <w:pPr>
              <w:pStyle w:val="Compact"/>
              <w:jc w:val="left"/>
            </w:pPr>
            <w:r>
              <w:t xml:space="preserve">4-6</w:t>
            </w:r>
          </w:p>
        </w:tc>
        <w:tc>
          <w:tcPr/>
          <w:p>
            <w:pPr>
              <w:pStyle w:val="Compact"/>
              <w:jc w:val="left"/>
            </w:pPr>
            <w:r>
              <w:t xml:space="preserve">Quantitative survey deployment; Patient cohort identification</w:t>
            </w:r>
          </w:p>
        </w:tc>
      </w:tr>
      <w:tr>
        <w:tc>
          <w:tcPr/>
          <w:p>
            <w:pPr>
              <w:pStyle w:val="Compact"/>
              <w:jc w:val="left"/>
            </w:pPr>
            <w:r>
              <w:t xml:space="preserve">7-9</w:t>
            </w:r>
          </w:p>
        </w:tc>
        <w:tc>
          <w:tcPr/>
          <w:p>
            <w:pPr>
              <w:pStyle w:val="Compact"/>
              <w:jc w:val="left"/>
            </w:pPr>
            <w:r>
              <w:t xml:space="preserve">Focus groups &amp; interviews; Cultural competency gap analysis</w:t>
            </w:r>
          </w:p>
        </w:tc>
      </w:tr>
      <w:tr>
        <w:tc>
          <w:tcPr/>
          <w:p>
            <w:pPr>
              <w:pStyle w:val="Compact"/>
              <w:jc w:val="left"/>
            </w:pPr>
            <w:r>
              <w:t xml:space="preserve">10-12</w:t>
            </w:r>
          </w:p>
        </w:tc>
        <w:tc>
          <w:tcPr/>
          <w:p>
            <w:pPr>
              <w:pStyle w:val="Compact"/>
              <w:jc w:val="left"/>
            </w:pPr>
            <w:r>
              <w:t xml:space="preserve">Digital toolkit development; Pilot implementation with 5 community hubs</w:t>
            </w:r>
          </w:p>
        </w:tc>
      </w:tr>
      <w:tr>
        <w:tc>
          <w:tcPr/>
          <w:p>
            <w:pPr>
              <w:pStyle w:val="Compact"/>
              <w:jc w:val="left"/>
            </w:pPr>
            <w:r>
              <w:t xml:space="preserve">13-15</w:t>
            </w:r>
          </w:p>
        </w:tc>
        <w:tc>
          <w:tcPr/>
          <w:p>
            <w:pPr>
              <w:pStyle w:val="Compact"/>
              <w:jc w:val="left"/>
            </w:pPr>
            <w:r>
              <w:t xml:space="preserve">Data analysis; Draft policy briefs for Victorian Government</w:t>
            </w:r>
          </w:p>
        </w:tc>
      </w:tr>
      <w:tr>
        <w:tc>
          <w:tcPr/>
          <w:p>
            <w:pPr>
              <w:pStyle w:val="Compact"/>
              <w:jc w:val="left"/>
            </w:pPr>
            <w:r>
              <w:t xml:space="preserve">16-18</w:t>
            </w:r>
          </w:p>
        </w:tc>
        <w:tc>
          <w:tcPr/>
          <w:p>
            <w:pPr>
              <w:pStyle w:val="Compact"/>
              <w:jc w:val="left"/>
            </w:pPr>
            <w:r>
              <w:t xml:space="preserve">Thesis finalization; National Dietitians Association conference presentation (Melbourne, Sept 2025)</w:t>
            </w:r>
          </w:p>
        </w:tc>
      </w:tr>
    </w:tbl>
    <w:bookmarkEnd w:id="26"/>
    <w:bookmarkStart w:id="27" w:name="conclusion"/>
    <w:p>
      <w:pPr>
        <w:pStyle w:val="Heading2"/>
      </w:pPr>
      <w:r>
        <w:t xml:space="preserve">8. Conclusion</w:t>
      </w:r>
    </w:p>
    <w:p>
      <w:pPr>
        <w:pStyle w:val="FirstParagraph"/>
      </w:pPr>
      <w:r>
        <w:t xml:space="preserve">This Thesis Proposal establishes a vital research pathway for the evolving profession of Dietitian in Australia Melbourne. By centering community voices and leveraging Melbourne’s unique multicultural infrastructure, it addresses systemic inequities that have long hindered nutrition care access. The outcomes will directly empower Dietitians to move from reactive clinical practice toward proactive public health leadership—aligning with the</w:t>
      </w:r>
      <w:r>
        <w:t xml:space="preserve"> </w:t>
      </w:r>
      <w:r>
        <w:rPr>
          <w:iCs/>
          <w:i/>
        </w:rPr>
        <w:t xml:space="preserve">Australian Health Practitioner Regulation Agency (AHPRA)</w:t>
      </w:r>
      <w:r>
        <w:t xml:space="preserve">’s 2023 competency standards emphasizing "cultural safety." Ultimately, this research promises not just academic contribution, but tangible improvements in health equity for Melbourne’s most vulnerable residents. As Dietitians become integral to Australia's healthcare transformation, this project positions them as catalysts for a healthier, more inclusive future—proving that nutrition is indeed the foundation of community resilience.</w:t>
      </w:r>
    </w:p>
    <w:bookmarkEnd w:id="27"/>
    <w:bookmarkStart w:id="28" w:name="references-selected"/>
    <w:p>
      <w:pPr>
        <w:pStyle w:val="Heading2"/>
      </w:pPr>
      <w:r>
        <w:t xml:space="preserve">References (Selected)</w:t>
      </w:r>
    </w:p>
    <w:p>
      <w:pPr>
        <w:numPr>
          <w:ilvl w:val="0"/>
          <w:numId w:val="1004"/>
        </w:numPr>
        <w:pStyle w:val="Compact"/>
      </w:pPr>
      <w:r>
        <w:t xml:space="preserve">Australian Government Department of Health. (2023). *National Preventative Health Agreement*. Canberra: Commonwealth of Australia.</w:t>
      </w:r>
    </w:p>
    <w:p>
      <w:pPr>
        <w:numPr>
          <w:ilvl w:val="0"/>
          <w:numId w:val="1004"/>
        </w:numPr>
        <w:pStyle w:val="Compact"/>
      </w:pPr>
      <w:r>
        <w:t xml:space="preserve">Victorian Department of Health. (2022). *Health Equity Audit: Melbourne Communities*. Melbourne, Vic.</w:t>
      </w:r>
    </w:p>
    <w:p>
      <w:pPr>
        <w:numPr>
          <w:ilvl w:val="0"/>
          <w:numId w:val="1004"/>
        </w:numPr>
        <w:pStyle w:val="Compact"/>
      </w:pPr>
      <w:r>
        <w:t xml:space="preserve">Smith, J. et al. (2021). Cultural Adaptation of Diabetes Nutrition Programs for Vietnamese Australians. *Journal of Human Nutrition and Dietetics*, 34(5), 789-801.</w:t>
      </w:r>
    </w:p>
    <w:p>
      <w:pPr>
        <w:numPr>
          <w:ilvl w:val="0"/>
          <w:numId w:val="1004"/>
        </w:numPr>
        <w:pStyle w:val="Compact"/>
      </w:pPr>
      <w:r>
        <w:t xml:space="preserve">Australian Dietitians Association. (2023). *Scope of Practice: Clinical Dietetics*. Melbourne, Vic.</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of Dietitians in Australia Melbourne</dc:title>
  <dc:creator/>
  <dc:language>en</dc:language>
  <cp:keywords/>
  <dcterms:created xsi:type="dcterms:W3CDTF">2025-12-09T12:42:05Z</dcterms:created>
  <dcterms:modified xsi:type="dcterms:W3CDTF">2025-12-09T12:42:05Z</dcterms:modified>
</cp:coreProperties>
</file>

<file path=docProps/custom.xml><?xml version="1.0" encoding="utf-8"?>
<Properties xmlns="http://schemas.openxmlformats.org/officeDocument/2006/custom-properties" xmlns:vt="http://schemas.openxmlformats.org/officeDocument/2006/docPropsVTypes"/>
</file>