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1cb701732135ddffa28a9ccd1608f0f8c61935"/>
    <w:p>
      <w:pPr>
        <w:pStyle w:val="Heading1"/>
      </w:pPr>
      <w:r>
        <w:t xml:space="preserve">Thesis Proposal: Enhancing Public Health Through Integrated Dietitian Services in Kuwait City, Kuwait</w:t>
      </w:r>
    </w:p>
    <w:bookmarkStart w:id="20" w:name="i.-introduction-and-background"/>
    <w:p>
      <w:pPr>
        <w:pStyle w:val="Heading2"/>
      </w:pPr>
      <w:r>
        <w:t xml:space="preserve">I. Introduction and Background</w:t>
      </w:r>
    </w:p>
    <w:p>
      <w:pPr>
        <w:pStyle w:val="FirstParagraph"/>
      </w:pPr>
      <w:r>
        <w:t xml:space="preserve">The Kingdom of Kuwait faces a critical public health challenge as non-communicable diseases (NCDs) such as type 2 diabetes, obesity, and cardiovascular conditions surge at alarming rates. According to the World Health Organization (WHO), over 30% of Kuwaiti adults suffer from obesity, with diabetes prevalence exceeding 20% – among the highest globally. This epidemic is deeply intertwined with rapid urbanization, cultural dietary shifts toward processed foods, and sedentary lifestyles in</w:t>
      </w:r>
      <w:r>
        <w:t xml:space="preserve"> </w:t>
      </w:r>
      <w:r>
        <w:rPr>
          <w:bCs/>
          <w:b/>
        </w:rPr>
        <w:t xml:space="preserve">Kuwait City</w:t>
      </w:r>
      <w:r>
        <w:t xml:space="preserve">, the nation's economic and healthcare hub. Despite these statistics, access to specialized</w:t>
      </w:r>
      <w:r>
        <w:t xml:space="preserve"> </w:t>
      </w:r>
      <w:r>
        <w:rPr>
          <w:bCs/>
          <w:b/>
        </w:rPr>
        <w:t xml:space="preserve">Dietitian</w:t>
      </w:r>
      <w:r>
        <w:t xml:space="preserve"> </w:t>
      </w:r>
      <w:r>
        <w:t xml:space="preserve">services remains fragmented within Kuwait's healthcare system. This</w:t>
      </w:r>
      <w:r>
        <w:t xml:space="preserve"> </w:t>
      </w:r>
      <w:r>
        <w:rPr>
          <w:bCs/>
          <w:b/>
        </w:rPr>
        <w:t xml:space="preserve">Thesis Proposal</w:t>
      </w:r>
      <w:r>
        <w:t xml:space="preserve"> </w:t>
      </w:r>
      <w:r>
        <w:t xml:space="preserve">addresses a pivotal gap: the underutilization of qualified dietitians as frontline public health professionals in</w:t>
      </w:r>
      <w:r>
        <w:t xml:space="preserve"> </w:t>
      </w:r>
      <w:r>
        <w:rPr>
          <w:bCs/>
          <w:b/>
        </w:rPr>
        <w:t xml:space="preserve">Kuwait City</w:t>
      </w:r>
      <w:r>
        <w:t xml:space="preserve">, despite their proven efficacy in NCD management globally. As Kuwait embarks on its National Vision 2035 to transform healthcare accessibility, integrating evidence-based dietetic practice is not merely beneficial but essential for sustainable population health.</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Kuwait City</w:t>
      </w:r>
      <w:r>
        <w:t xml:space="preserve">, the healthcare infrastructure heavily relies on physicians for chronic disease management, with dietitians often relegated to tertiary hospital roles rather than primary prevention. This results in: (1) Inconsistent nutritional guidance for patients with diabetes or hypertension; (2) Limited community-based dietary education programs; and (3) A national shortage of certified</w:t>
      </w:r>
      <w:r>
        <w:t xml:space="preserve"> </w:t>
      </w:r>
      <w:r>
        <w:rPr>
          <w:bCs/>
          <w:b/>
        </w:rPr>
        <w:t xml:space="preserve">Dietitian</w:t>
      </w:r>
      <w:r>
        <w:t xml:space="preserve"> </w:t>
      </w:r>
      <w:r>
        <w:t xml:space="preserve">professionals – Kuwait currently has only 65 registered dietitians for a population of 4.2 million in the capital alone, far below WHO recommendations. Consequently, preventable complications rise, straining public resources. This proposal argues that formalizing the</w:t>
      </w:r>
      <w:r>
        <w:t xml:space="preserve"> </w:t>
      </w:r>
      <w:r>
        <w:rPr>
          <w:bCs/>
          <w:b/>
        </w:rPr>
        <w:t xml:space="preserve">Dietitian</w:t>
      </w:r>
      <w:r>
        <w:t xml:space="preserve">'s role across primary care, schools, and workplaces in</w:t>
      </w:r>
      <w:r>
        <w:t xml:space="preserve"> </w:t>
      </w:r>
      <w:r>
        <w:rPr>
          <w:bCs/>
          <w:b/>
        </w:rPr>
        <w:t xml:space="preserve">Kuwait City</w:t>
      </w:r>
      <w:r>
        <w:t xml:space="preserve"> </w:t>
      </w:r>
      <w:r>
        <w:t xml:space="preserve">is a cost-effective strategy to mitigate this crisis.</w:t>
      </w:r>
    </w:p>
    <w:bookmarkEnd w:id="21"/>
    <w:bookmarkStart w:id="22" w:name="iii.-literature-review-relevant-context"/>
    <w:p>
      <w:pPr>
        <w:pStyle w:val="Heading2"/>
      </w:pPr>
      <w:r>
        <w:t xml:space="preserve">III. Literature Review (Relevant Context)</w:t>
      </w:r>
    </w:p>
    <w:p>
      <w:pPr>
        <w:pStyle w:val="FirstParagraph"/>
      </w:pPr>
      <w:r>
        <w:t xml:space="preserve">Global evidence consistently demonstrates that dietitians reduce hospital readmissions by 25% and improve glycemic control in diabetic patients (Journal of the Academy of Nutrition and Dietetics, 2023). In Gulf Cooperation Council nations like Saudi Arabia, integrated dietitian-led programs have decreased diabetes complications by 18% in pilot communities. However, Kuwait lacks similar large-scale initiatives. Existing studies (Al-Mutairi et al., 2021; Al-Kandari, 2022) highlight cultural barriers to dietitian adoption – including low public awareness of their expertise and professional scope – alongside bureaucratic hurdles in healthcare coordination. Crucially, no research has yet mapped the full potential of</w:t>
      </w:r>
      <w:r>
        <w:t xml:space="preserve"> </w:t>
      </w:r>
      <w:r>
        <w:rPr>
          <w:bCs/>
          <w:b/>
        </w:rPr>
        <w:t xml:space="preserve">Dietitian</w:t>
      </w:r>
      <w:r>
        <w:t xml:space="preserve"> </w:t>
      </w:r>
      <w:r>
        <w:t xml:space="preserve">services within</w:t>
      </w:r>
      <w:r>
        <w:t xml:space="preserve"> </w:t>
      </w:r>
      <w:r>
        <w:rPr>
          <w:bCs/>
          <w:b/>
        </w:rPr>
        <w:t xml:space="preserve">Kuwait City</w:t>
      </w:r>
      <w:r>
        <w:t xml:space="preserve">'s unique socio-cultural context, making this research imperative for national health strategy.</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dietitian practice in</w:t>
      </w:r>
      <w:r>
        <w:t xml:space="preserve"> </w:t>
      </w:r>
      <w:r>
        <w:rPr>
          <w:bCs/>
          <w:b/>
        </w:rPr>
        <w:t xml:space="preserve">Kuwait City</w:t>
      </w:r>
      <w:r>
        <w:t xml:space="preserve">. Specific objectives are:</w:t>
      </w:r>
    </w:p>
    <w:p>
      <w:pPr>
        <w:numPr>
          <w:ilvl w:val="0"/>
          <w:numId w:val="1001"/>
        </w:numPr>
        <w:pStyle w:val="Compact"/>
      </w:pPr>
      <w:r>
        <w:t xml:space="preserve">To conduct a comprehensive assessment of current dietitian service provision across primary healthcare centers, hospitals, and private practices in</w:t>
      </w:r>
      <w:r>
        <w:t xml:space="preserve"> </w:t>
      </w:r>
      <w:r>
        <w:rPr>
          <w:bCs/>
          <w:b/>
        </w:rPr>
        <w:t xml:space="preserve">Kuwait City</w:t>
      </w:r>
      <w:r>
        <w:t xml:space="preserve">.</w:t>
      </w:r>
    </w:p>
    <w:p>
      <w:pPr>
        <w:numPr>
          <w:ilvl w:val="0"/>
          <w:numId w:val="1001"/>
        </w:numPr>
        <w:pStyle w:val="Compact"/>
      </w:pPr>
      <w:r>
        <w:t xml:space="preserve">To evaluate cultural, systemic, and educational barriers preventing wider integration of the</w:t>
      </w:r>
      <w:r>
        <w:t xml:space="preserve"> </w:t>
      </w:r>
      <w:r>
        <w:rPr>
          <w:bCs/>
          <w:b/>
        </w:rPr>
        <w:t xml:space="preserve">Dietitian</w:t>
      </w:r>
      <w:r>
        <w:t xml:space="preserve"> </w:t>
      </w:r>
      <w:r>
        <w:t xml:space="preserve">role.</w:t>
      </w:r>
    </w:p>
    <w:p>
      <w:pPr>
        <w:numPr>
          <w:ilvl w:val="0"/>
          <w:numId w:val="1001"/>
        </w:numPr>
        <w:pStyle w:val="Compact"/>
      </w:pPr>
      <w:r>
        <w:t xml:space="preserve">To co-design a culturally tailored public health strategy with key stakeholders (healthcare providers, policymakers, community leaders) for nationwide dietitian service expansion.</w:t>
      </w:r>
    </w:p>
    <w:p>
      <w:pPr>
        <w:pStyle w:val="FirstParagraph"/>
      </w:pPr>
      <w:r>
        <w:t xml:space="preserve">Key research questions include: "How can the scope of practice for</w:t>
      </w:r>
      <w:r>
        <w:t xml:space="preserve"> </w:t>
      </w:r>
      <w:r>
        <w:rPr>
          <w:bCs/>
          <w:b/>
        </w:rPr>
        <w:t xml:space="preserve">Dietitian</w:t>
      </w:r>
      <w:r>
        <w:t xml:space="preserve"> </w:t>
      </w:r>
      <w:r>
        <w:t xml:space="preserve">professionals be legally and operationally expanded within Kuwait's healthcare system?" and "What culturally resonant educational models would maximize public uptake of dietetic services in</w:t>
      </w:r>
      <w:r>
        <w:t xml:space="preserve"> </w:t>
      </w:r>
      <w:r>
        <w:rPr>
          <w:bCs/>
          <w:b/>
        </w:rPr>
        <w:t xml:space="preserve">Kuwait City</w:t>
      </w:r>
      <w:r>
        <w:t xml:space="preserve">?"</w:t>
      </w:r>
    </w:p>
    <w:bookmarkEnd w:id="23"/>
    <w:bookmarkStart w:id="24" w:name="v.-methodology"/>
    <w:p>
      <w:pPr>
        <w:pStyle w:val="Heading2"/>
      </w:pPr>
      <w:r>
        <w:t xml:space="preserve">V. Methodology</w:t>
      </w:r>
    </w:p>
    <w:p>
      <w:pPr>
        <w:pStyle w:val="FirstParagraph"/>
      </w:pPr>
      <w:r>
        <w:t xml:space="preserve">This mixed-methods study will employ a 12-month phased approach:</w:t>
      </w:r>
    </w:p>
    <w:p>
      <w:pPr>
        <w:numPr>
          <w:ilvl w:val="0"/>
          <w:numId w:val="1002"/>
        </w:numPr>
        <w:pStyle w:val="Compact"/>
      </w:pPr>
      <w:r>
        <w:rPr>
          <w:iCs/>
          <w:i/>
        </w:rPr>
        <w:t xml:space="preserve">Phase 1: System Mapping (Months 1-3)</w:t>
      </w:r>
      <w:r>
        <w:t xml:space="preserve"> </w:t>
      </w:r>
      <w:r>
        <w:t xml:space="preserve">– Survey all primary healthcare facilities in</w:t>
      </w:r>
      <w:r>
        <w:t xml:space="preserve"> </w:t>
      </w:r>
      <w:r>
        <w:rPr>
          <w:bCs/>
          <w:b/>
        </w:rPr>
        <w:t xml:space="preserve">Kuwait City</w:t>
      </w:r>
      <w:r>
        <w:t xml:space="preserve"> </w:t>
      </w:r>
      <w:r>
        <w:t xml:space="preserve">to document current dietitian staffing, services offered, and referral pathways. Analyze national health policy documents for gaps.</w:t>
      </w:r>
    </w:p>
    <w:p>
      <w:pPr>
        <w:numPr>
          <w:ilvl w:val="0"/>
          <w:numId w:val="1002"/>
        </w:numPr>
        <w:pStyle w:val="Compact"/>
      </w:pPr>
      <w:r>
        <w:rPr>
          <w:iCs/>
          <w:i/>
        </w:rPr>
        <w:t xml:space="preserve">Phase 2: Stakeholder Engagement (Months 4-7)</w:t>
      </w:r>
      <w:r>
        <w:t xml:space="preserve"> </w:t>
      </w:r>
      <w:r>
        <w:t xml:space="preserve">– Conduct semi-structured interviews with 30 key informants (ministry officials, hospital administrators, practicing dietitians) and focus groups with 150 residents across diverse neighborhoods of</w:t>
      </w:r>
      <w:r>
        <w:t xml:space="preserve"> </w:t>
      </w:r>
      <w:r>
        <w:rPr>
          <w:bCs/>
          <w:b/>
        </w:rPr>
        <w:t xml:space="preserve">Kuwait City</w:t>
      </w:r>
      <w:r>
        <w:t xml:space="preserve">.</w:t>
      </w:r>
    </w:p>
    <w:p>
      <w:pPr>
        <w:numPr>
          <w:ilvl w:val="0"/>
          <w:numId w:val="1002"/>
        </w:numPr>
        <w:pStyle w:val="Compact"/>
      </w:pPr>
      <w:r>
        <w:rPr>
          <w:iCs/>
          <w:i/>
        </w:rPr>
        <w:t xml:space="preserve">Phase 3: Intervention Co-Design (Months 8-10)</w:t>
      </w:r>
      <w:r>
        <w:t xml:space="preserve"> </w:t>
      </w:r>
      <w:r>
        <w:t xml:space="preserve">– Facilitate workshops to develop a pilot program integrating dietitians into existing diabetes management protocols in two community health centers. Incorporate feedback on culturally relevant food education materials.</w:t>
      </w:r>
    </w:p>
    <w:p>
      <w:pPr>
        <w:numPr>
          <w:ilvl w:val="0"/>
          <w:numId w:val="1002"/>
        </w:numPr>
        <w:pStyle w:val="Compact"/>
      </w:pPr>
      <w:r>
        <w:rPr>
          <w:iCs/>
          <w:i/>
        </w:rPr>
        <w:t xml:space="preserve">Phase 4: Impact Assessment (Months 11-12)</w:t>
      </w:r>
      <w:r>
        <w:t xml:space="preserve"> </w:t>
      </w:r>
      <w:r>
        <w:t xml:space="preserve">– Measure preliminary outcomes (e.g., patient adherence rates, satisfaction scores) in the pilot sites versus control centers.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two critical deliverables: (1) A national policy brief for Kuwait's Ministry of Health outlining legal reforms to expand dietitian scope, including recognition in primary care teams; and (2) A culturally validated implementation toolkit featuring Arabic-language dietary guides, school nutrition modules, and employer partnership templates. The significance extends beyond academia: By positioning the</w:t>
      </w:r>
      <w:r>
        <w:t xml:space="preserve"> </w:t>
      </w:r>
      <w:r>
        <w:rPr>
          <w:bCs/>
          <w:b/>
        </w:rPr>
        <w:t xml:space="preserve">Dietitian</w:t>
      </w:r>
      <w:r>
        <w:t xml:space="preserve"> </w:t>
      </w:r>
      <w:r>
        <w:t xml:space="preserve">as a central figure in Kuwait's public health strategy for</w:t>
      </w:r>
      <w:r>
        <w:t xml:space="preserve"> </w:t>
      </w:r>
      <w:r>
        <w:rPr>
          <w:bCs/>
          <w:b/>
        </w:rPr>
        <w:t xml:space="preserve">Kuwait City</w:t>
      </w:r>
      <w:r>
        <w:t xml:space="preserve">, this work directly supports Kuwait Vision 2035 goals of "healthy living" and healthcare modernization. It promises to reduce preventable healthcare costs (estimated at $1.2 billion annually for diabetes management) while empowering communities with evidence-based nutrition knowledge – a cornerstone of sustainable health security in the Gulf.</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System mapping and policy analysis in Kuwait City facilities</w:t>
            </w:r>
          </w:p>
        </w:tc>
      </w:tr>
      <w:tr>
        <w:tc>
          <w:tcPr/>
          <w:p>
            <w:pPr>
              <w:pStyle w:val="Compact"/>
              <w:jc w:val="left"/>
            </w:pPr>
            <w:r>
              <w:t xml:space="preserve">4-7</w:t>
            </w:r>
          </w:p>
        </w:tc>
        <w:tc>
          <w:tcPr/>
          <w:p>
            <w:pPr>
              <w:pStyle w:val="Compact"/>
              <w:jc w:val="left"/>
            </w:pPr>
            <w:r>
              <w:t xml:space="preserve">Stakeholder interviews &amp; community focus groups across Kuwait City districts</w:t>
            </w:r>
          </w:p>
        </w:tc>
      </w:tr>
      <w:tr>
        <w:tc>
          <w:tcPr/>
          <w:p>
            <w:pPr>
              <w:pStyle w:val="Compact"/>
              <w:jc w:val="left"/>
            </w:pPr>
            <w:r>
              <w:t xml:space="preserve">8-10</w:t>
            </w:r>
          </w:p>
        </w:tc>
        <w:tc>
          <w:tcPr/>
          <w:p>
            <w:pPr>
              <w:pStyle w:val="Compact"/>
              <w:jc w:val="left"/>
            </w:pPr>
            <w:r>
              <w:t xml:space="preserve">Pilot program co-design and materials development</w:t>
            </w:r>
          </w:p>
        </w:tc>
      </w:tr>
      <w:tr>
        <w:tc>
          <w:tcPr/>
          <w:p>
            <w:pPr>
              <w:pStyle w:val="Compact"/>
              <w:jc w:val="left"/>
            </w:pPr>
            <w:r>
              <w:t xml:space="preserve">11-12</w:t>
            </w:r>
          </w:p>
        </w:tc>
        <w:tc>
          <w:tcPr/>
          <w:p>
            <w:pPr>
              <w:pStyle w:val="Compact"/>
              <w:jc w:val="left"/>
            </w:pPr>
            <w:r>
              <w:t xml:space="preserve">Pilot implementation, data collection, and final report drafting</w:t>
            </w:r>
          </w:p>
        </w:tc>
      </w:tr>
    </w:tbl>
    <w:bookmarkEnd w:id="26"/>
    <w:bookmarkStart w:id="27" w:name="viii.-conclusion"/>
    <w:p>
      <w:pPr>
        <w:pStyle w:val="Heading2"/>
      </w:pPr>
      <w:r>
        <w:t xml:space="preserve">VIII. Conclusion</w:t>
      </w:r>
    </w:p>
    <w:p>
      <w:pPr>
        <w:pStyle w:val="FirstParagraph"/>
      </w:pPr>
      <w:r>
        <w:t xml:space="preserve">As Kuwait City evolves into a modern urban center, its health system must evolve alongside it. This</w:t>
      </w:r>
      <w:r>
        <w:t xml:space="preserve"> </w:t>
      </w:r>
      <w:r>
        <w:rPr>
          <w:bCs/>
          <w:b/>
        </w:rPr>
        <w:t xml:space="preserve">Thesis Proposal</w:t>
      </w:r>
      <w:r>
        <w:t xml:space="preserve"> </w:t>
      </w:r>
      <w:r>
        <w:t xml:space="preserve">establishes that strategic integration of the</w:t>
      </w:r>
      <w:r>
        <w:t xml:space="preserve"> </w:t>
      </w:r>
      <w:r>
        <w:rPr>
          <w:bCs/>
          <w:b/>
        </w:rPr>
        <w:t xml:space="preserve">Dietitian</w:t>
      </w:r>
      <w:r>
        <w:t xml:space="preserve"> </w:t>
      </w:r>
      <w:r>
        <w:t xml:space="preserve">profession is not merely an add-on but a foundational pillar for combating the NCD epidemic in</w:t>
      </w:r>
      <w:r>
        <w:t xml:space="preserve"> </w:t>
      </w:r>
      <w:r>
        <w:rPr>
          <w:bCs/>
          <w:b/>
        </w:rPr>
        <w:t xml:space="preserve">Kuwait City</w:t>
      </w:r>
      <w:r>
        <w:t xml:space="preserve">. By grounding this research in Kuwaiti context, culture, and healthcare realities – rather than importing foreign models – we create a replicable blueprint for national health transformation. The findings will provide actionable evidence to policymakers, healthcare administrators, and future dietitians across Kuwait, ensuring that nutritional expertise becomes as accessible as medical care in the streets of</w:t>
      </w:r>
      <w:r>
        <w:t xml:space="preserve"> </w:t>
      </w:r>
      <w:r>
        <w:rPr>
          <w:bCs/>
          <w:b/>
        </w:rPr>
        <w:t xml:space="preserve">Kuwait City</w:t>
      </w:r>
      <w:r>
        <w:t xml:space="preserve">. This is not just an academic endeavor; it is a public health imperative for a healthier Kuwaiti nation.</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*National NCD Profile: Kuwait*. Geneva: WHO.</w:t>
      </w:r>
    </w:p>
    <w:p>
      <w:pPr>
        <w:numPr>
          <w:ilvl w:val="0"/>
          <w:numId w:val="1003"/>
        </w:numPr>
        <w:pStyle w:val="Compact"/>
      </w:pPr>
      <w:r>
        <w:t xml:space="preserve">Al-Mutairi, S., et al. (2021). "Barriers to Dietetic Practice in GCC Countries." *Journal of Nutrition &amp; Dietetics*, 45(3), 112-125.</w:t>
      </w:r>
    </w:p>
    <w:p>
      <w:pPr>
        <w:numPr>
          <w:ilvl w:val="0"/>
          <w:numId w:val="1003"/>
        </w:numPr>
        <w:pStyle w:val="Compact"/>
      </w:pPr>
      <w:r>
        <w:t xml:space="preserve">Kuwait Ministry of Health. (2020). *National Health Strategy Framework: Vision 2035*. Kuwait City.</w:t>
      </w:r>
    </w:p>
    <w:p>
      <w:pPr>
        <w:numPr>
          <w:ilvl w:val="0"/>
          <w:numId w:val="1003"/>
        </w:numPr>
        <w:pStyle w:val="Compact"/>
      </w:pPr>
      <w:r>
        <w:t xml:space="preserve">Al-Kandari, F. (2022). "Cultural Perceptions of Nutrition Professionals in Kuwait." *Gulf Journal of Public Health*, 7(1),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Kuwait City, Kuwait</dc:title>
  <dc:creator/>
  <dc:language>en</dc:language>
  <cp:keywords/>
  <dcterms:created xsi:type="dcterms:W3CDTF">2026-07-22T16:35:01Z</dcterms:created>
  <dcterms:modified xsi:type="dcterms:W3CDTF">2026-07-22T16:35:01Z</dcterms:modified>
</cp:coreProperties>
</file>

<file path=docProps/custom.xml><?xml version="1.0" encoding="utf-8"?>
<Properties xmlns="http://schemas.openxmlformats.org/officeDocument/2006/custom-properties" xmlns:vt="http://schemas.openxmlformats.org/officeDocument/2006/docPropsVTypes"/>
</file>