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Science</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Dietitian</w:t>
      </w:r>
      <w:r>
        <w:t xml:space="preserve"> </w:t>
      </w:r>
      <w:r>
        <w:t xml:space="preserve">Practice</w:t>
      </w:r>
      <w:r>
        <w:t xml:space="preserve"> </w:t>
      </w:r>
      <w:r>
        <w:t xml:space="preserve">in</w:t>
      </w:r>
      <w:r>
        <w:t xml:space="preserve"> </w:t>
      </w:r>
      <w:r>
        <w:t xml:space="preserve">Russia</w:t>
      </w:r>
      <w:r>
        <w:t xml:space="preserve"> </w:t>
      </w:r>
      <w:r>
        <w:t xml:space="preserve">Moscow</w:t>
      </w:r>
    </w:p>
    <w:bookmarkStart w:id="28" w:name="Xc0b617ea0cfd354fbdd1b55bec26ec172306f4a"/>
    <w:p>
      <w:pPr>
        <w:pStyle w:val="Heading1"/>
      </w:pPr>
      <w:r>
        <w:t xml:space="preserve">Thesis Proposal: Advancing Nutritional Science in Urban Settings - A Focus on Dietitian Practice in Russia Moscow</w:t>
      </w:r>
    </w:p>
    <w:bookmarkStart w:id="20" w:name="introduction-and-background"/>
    <w:p>
      <w:pPr>
        <w:pStyle w:val="Heading2"/>
      </w:pPr>
      <w:r>
        <w:t xml:space="preserve">Introduction and Background</w:t>
      </w:r>
    </w:p>
    <w:p>
      <w:pPr>
        <w:pStyle w:val="FirstParagraph"/>
      </w:pPr>
      <w:r>
        <w:t xml:space="preserve">The rapidly evolving urban landscape of Russia Moscow presents unique challenges and opportunities for public health professionals, particularly Dietitians. With over 13 million residents, Moscow faces a dual burden of malnutrition—both undernutrition among vulnerable populations and the rising tide of diet-related non-communicable diseases (NCDs) such as obesity, type 2 diabetes, and cardiovascular disorders. According to the Russian Ministry of Health (2023), NCDs account for 78% of all deaths in Moscow, directly linked to suboptimal dietary patterns. Despite this critical public health need, the integration of certified Dietitians into mainstream healthcare remains underdeveloped compared to Western European standards. This Thesis Proposal addresses a significant gap: the lack of locally contextualized evidence on effective dietetic practice models within Russia Moscow's complex socio-economic and cultural environment.</w:t>
      </w:r>
    </w:p>
    <w:bookmarkEnd w:id="20"/>
    <w:bookmarkStart w:id="21" w:name="problem-statement"/>
    <w:p>
      <w:pPr>
        <w:pStyle w:val="Heading2"/>
      </w:pPr>
      <w:r>
        <w:t xml:space="preserve">Problem Statement</w:t>
      </w:r>
    </w:p>
    <w:p>
      <w:pPr>
        <w:pStyle w:val="FirstParagraph"/>
      </w:pPr>
      <w:r>
        <w:t xml:space="preserve">Current nutritional interventions in Moscow predominantly rely on generic dietary guidelines that fail to account for regional dietary customs, economic constraints, and the unique stressors of urban life. While Dietitian roles exist within hospitals and private clinics, they operate in fragmented silos without standardized protocols or interdisciplinary collaboration frameworks. Crucially, there is no comprehensive research examining how a qualified Dietitian can effectively navigate Moscow's healthcare infrastructure—from primary care facilities to community centers—to deliver culturally resonant, evidence-based nutritional counseling that addresses both acute and chronic disease prevention. This proposal seeks to establish the foundation for elevating the Dietitian profession in Russia Moscow as a strategic public health asset.</w:t>
      </w:r>
    </w:p>
    <w:bookmarkEnd w:id="21"/>
    <w:bookmarkStart w:id="22" w:name="research-objectives"/>
    <w:p>
      <w:pPr>
        <w:pStyle w:val="Heading2"/>
      </w:pPr>
      <w:r>
        <w:t xml:space="preserve">Research Objectives</w:t>
      </w:r>
    </w:p>
    <w:p>
      <w:pPr>
        <w:numPr>
          <w:ilvl w:val="0"/>
          <w:numId w:val="1001"/>
        </w:numPr>
        <w:pStyle w:val="Compact"/>
      </w:pPr>
      <w:r>
        <w:t xml:space="preserve">To evaluate current dietary patterns and nutritional challenges among diverse demographic groups across Moscow's administrative districts (e.g., Central, Eastern, Southern), focusing on low-income neighborhoods and immigrant communities.</w:t>
      </w:r>
    </w:p>
    <w:p>
      <w:pPr>
        <w:numPr>
          <w:ilvl w:val="0"/>
          <w:numId w:val="1001"/>
        </w:numPr>
        <w:pStyle w:val="Compact"/>
      </w:pPr>
      <w:r>
        <w:t xml:space="preserve">To analyze existing Dietitian practice models in Moscow through a comparative lens of healthcare institutions (public hospitals, private clinics, non-profits) and identify barriers to professional efficacy.</w:t>
      </w:r>
    </w:p>
    <w:p>
      <w:pPr>
        <w:numPr>
          <w:ilvl w:val="0"/>
          <w:numId w:val="1001"/>
        </w:numPr>
        <w:pStyle w:val="Compact"/>
      </w:pPr>
      <w:r>
        <w:t xml:space="preserve">To develop a context-specific framework for Dietitian-led nutritional interventions that integrates Russian cultural food traditions, modern nutritional science, and Moscow's unique urban food ecosystem (including emerging trends like urban farming initiatives).</w:t>
      </w:r>
    </w:p>
    <w:bookmarkEnd w:id="22"/>
    <w:bookmarkStart w:id="23" w:name="X5574f7abf40d8196ec3bcb34c25b305cb2c2388"/>
    <w:p>
      <w:pPr>
        <w:pStyle w:val="Heading2"/>
      </w:pPr>
      <w:r>
        <w:t xml:space="preserve">Literature Review (Key Gaps in Russia Moscow Context)</w:t>
      </w:r>
    </w:p>
    <w:p>
      <w:pPr>
        <w:pStyle w:val="FirstParagraph"/>
      </w:pPr>
      <w:r>
        <w:t xml:space="preserve">Existing global literature on Dietitian roles is heavily skewed toward North American and European contexts. While studies from the EU (e.g., EFSA, 2021) demonstrate dietitians reduce hospital readmission rates by 15-30%, similar evidence is absent for Russia Moscow. Russian medical journals (e.g., "Vestnik Pitania," 2022) highlight nutrition as a priority but lack practitioner-focused research on implementation challenges. Notably, the Federal Law on Healthcare (No. 323-FZ) recognizes dietitians as healthcare professionals, yet certification standards remain inconsistent across regions—a critical barrier for uniform practice in Moscow. This Thesis Proposal will fill this void by generating locally valid data to inform policy and professional development.</w:t>
      </w:r>
    </w:p>
    <w:bookmarkEnd w:id="23"/>
    <w:bookmarkStart w:id="24" w:name="methodology"/>
    <w:p>
      <w:pPr>
        <w:pStyle w:val="Heading2"/>
      </w:pPr>
      <w:r>
        <w:t xml:space="preserve">Methodology</w:t>
      </w:r>
    </w:p>
    <w:p>
      <w:pPr>
        <w:pStyle w:val="FirstParagraph"/>
      </w:pPr>
      <w:r>
        <w:t xml:space="preserve">This mixed-methods study will employ a three-phase approach over 18 months, exclusively within Moscow:</w:t>
      </w:r>
    </w:p>
    <w:p>
      <w:pPr>
        <w:numPr>
          <w:ilvl w:val="0"/>
          <w:numId w:val="1002"/>
        </w:numPr>
        <w:pStyle w:val="Compact"/>
      </w:pPr>
      <w:r>
        <w:rPr>
          <w:bCs/>
          <w:b/>
        </w:rPr>
        <w:t xml:space="preserve">Phase 1 (Months 1-4):</w:t>
      </w:r>
      <w:r>
        <w:t xml:space="preserve"> </w:t>
      </w:r>
      <w:r>
        <w:t xml:space="preserve">Quantitative survey of 500 residents across six Moscow districts (stratified by income and age) to map dietary habits and health outcomes using WHO-recommended food frequency questionnaires.</w:t>
      </w:r>
    </w:p>
    <w:p>
      <w:pPr>
        <w:numPr>
          <w:ilvl w:val="0"/>
          <w:numId w:val="1002"/>
        </w:numPr>
        <w:pStyle w:val="Compact"/>
      </w:pPr>
      <w:r>
        <w:rPr>
          <w:bCs/>
          <w:b/>
        </w:rPr>
        <w:t xml:space="preserve">Phase 2 (Months 5-10):</w:t>
      </w:r>
      <w:r>
        <w:t xml:space="preserve"> </w:t>
      </w:r>
      <w:r>
        <w:t xml:space="preserve">Qualitative component including semi-structured interviews with 30 Dietitians, healthcare administrators, and community leaders across Moscow's healthcare network to identify systemic barriers and successful practice models.</w:t>
      </w:r>
    </w:p>
    <w:p>
      <w:pPr>
        <w:numPr>
          <w:ilvl w:val="0"/>
          <w:numId w:val="1002"/>
        </w:numPr>
        <w:pStyle w:val="Compact"/>
      </w:pPr>
      <w:r>
        <w:rPr>
          <w:bCs/>
          <w:b/>
        </w:rPr>
        <w:t xml:space="preserve">Phase 3 (Months 11-18):</w:t>
      </w:r>
      <w:r>
        <w:t xml:space="preserve"> </w:t>
      </w:r>
      <w:r>
        <w:t xml:space="preserve">Development and pilot-testing of a culturally adapted "Moscow Nutritional Toolkit" in collaboration with three primary care centers. Evaluation metrics will include patient adherence rates, clinical markers (e.g., HbA1c), and Dietitian workflow efficiency.</w:t>
      </w:r>
    </w:p>
    <w:p>
      <w:pPr>
        <w:pStyle w:val="FirstParagraph"/>
      </w:pPr>
      <w:r>
        <w:t xml:space="preserve">Data analysis will utilize SPSS for statistical modeling and NVivo for thematic analysis of interview transcripts, ensuring alignment with the Russian national health data framework (Federal State Statistical Register).</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outputs:</w:t>
      </w:r>
    </w:p>
    <w:p>
      <w:pPr>
        <w:numPr>
          <w:ilvl w:val="0"/>
          <w:numId w:val="1003"/>
        </w:numPr>
        <w:pStyle w:val="Compact"/>
      </w:pPr>
      <w:r>
        <w:t xml:space="preserve">A validated set of dietary guidelines specific to Moscow's urban population, incorporating traditional Russian dishes (e.g., borscht, blini) into therapeutic frameworks for diabetes management.</w:t>
      </w:r>
    </w:p>
    <w:p>
      <w:pPr>
        <w:numPr>
          <w:ilvl w:val="0"/>
          <w:numId w:val="1003"/>
        </w:numPr>
        <w:pStyle w:val="Compact"/>
      </w:pPr>
      <w:r>
        <w:t xml:space="preserve">A scalable professional development curriculum for Dietitians in Russia Moscow, addressing gaps in cultural competence and technology integration (e.g., telehealth platforms tailored to Russian-language users).</w:t>
      </w:r>
    </w:p>
    <w:p>
      <w:pPr>
        <w:numPr>
          <w:ilvl w:val="0"/>
          <w:numId w:val="1003"/>
        </w:numPr>
        <w:pStyle w:val="Compact"/>
      </w:pPr>
      <w:r>
        <w:t xml:space="preserve">Policy recommendations to the Moscow Department of Health advocating for mandatory Dietitian inclusion in primary care teams for NCD management, directly supporting Russia's 2030 National Health Strategy.</w:t>
      </w:r>
    </w:p>
    <w:p>
      <w:pPr>
        <w:pStyle w:val="FirstParagraph"/>
      </w:pPr>
      <w:r>
        <w:t xml:space="preserve">The significance extends beyond academia: By demonstrating measurable health and economic outcomes, this research will position the Dietitian as a critical player in reducing Moscow's healthcare burden. For instance, a model based on successful UK NHS studies could yield an estimated $12M annual savings in preventable hospitalizations within Moscow alone. Furthermore, the framework will empower future Dietitians in Russia to leverage local food systems—like Moscow’s expanding network of community-supported agriculture (CSA) programs—to promote sustainable nutrition.</w:t>
      </w:r>
    </w:p>
    <w:bookmarkEnd w:id="25"/>
    <w:bookmarkStart w:id="26" w:name="Xb3d74c2ff982fb03352e2f18687454ead8c8a9f"/>
    <w:p>
      <w:pPr>
        <w:pStyle w:val="Heading2"/>
      </w:pPr>
      <w:r>
        <w:t xml:space="preserve">Implementation Timeline and Resource Needs</w:t>
      </w:r>
    </w:p>
    <w:p>
      <w:pPr>
        <w:pStyle w:val="FirstParagraph"/>
      </w:pPr>
      <w:r>
        <w:t xml:space="preserve">The Thesis Proposal outlines a realistic 18-month timeline with key milestones:</w:t>
      </w:r>
    </w:p>
    <w:p>
      <w:pPr>
        <w:numPr>
          <w:ilvl w:val="0"/>
          <w:numId w:val="1004"/>
        </w:numPr>
        <w:pStyle w:val="Compact"/>
      </w:pPr>
      <w:r>
        <w:rPr>
          <w:iCs/>
          <w:i/>
        </w:rPr>
        <w:t xml:space="preserve">Months 1-3:</w:t>
      </w:r>
      <w:r>
        <w:t xml:space="preserve"> </w:t>
      </w:r>
      <w:r>
        <w:t xml:space="preserve">Ethics approval (Moscow State University IRB), tool development, district selection.</w:t>
      </w:r>
    </w:p>
    <w:p>
      <w:pPr>
        <w:numPr>
          <w:ilvl w:val="0"/>
          <w:numId w:val="1004"/>
        </w:numPr>
        <w:pStyle w:val="Compact"/>
      </w:pPr>
      <w:r>
        <w:rPr>
          <w:iCs/>
          <w:i/>
        </w:rPr>
        <w:t xml:space="preserve">Months 4-9:</w:t>
      </w:r>
      <w:r>
        <w:t xml:space="preserve"> </w:t>
      </w:r>
      <w:r>
        <w:t xml:space="preserve">Fieldwork: Data collection across Moscow districts and stakeholder interviews.</w:t>
      </w:r>
    </w:p>
    <w:p>
      <w:pPr>
        <w:numPr>
          <w:ilvl w:val="0"/>
          <w:numId w:val="1004"/>
        </w:numPr>
        <w:pStyle w:val="Compact"/>
      </w:pPr>
      <w:r>
        <w:rPr>
          <w:iCs/>
          <w:i/>
        </w:rPr>
        <w:t xml:space="preserve">Months 10-15:</w:t>
      </w:r>
      <w:r>
        <w:t xml:space="preserve"> </w:t>
      </w:r>
      <w:r>
        <w:t xml:space="preserve">Toolkit development with partner clinics, pilot implementation.</w:t>
      </w:r>
    </w:p>
    <w:p>
      <w:pPr>
        <w:numPr>
          <w:ilvl w:val="0"/>
          <w:numId w:val="1004"/>
        </w:numPr>
        <w:pStyle w:val="Compact"/>
      </w:pPr>
      <w:r>
        <w:rPr>
          <w:iCs/>
          <w:i/>
        </w:rPr>
        <w:t xml:space="preserve">Months 16-18:</w:t>
      </w:r>
      <w:r>
        <w:t xml:space="preserve"> </w:t>
      </w:r>
      <w:r>
        <w:t xml:space="preserve">Data synthesis, policy briefing preparation, thesis writing.</w:t>
      </w:r>
    </w:p>
    <w:p>
      <w:pPr>
        <w:pStyle w:val="FirstParagraph"/>
      </w:pPr>
      <w:r>
        <w:t xml:space="preserve">Required resources include access to Moscow healthcare databases (via MOH partnerships), a $45K budget for survey logistics and software licenses, and collaboration with the Moscow Association of Dietitians for practitioner engagement. All data collection will strictly comply with Russian GDPR regulations (Federal Law No. 152-FZ).</w:t>
      </w:r>
    </w:p>
    <w:bookmarkEnd w:id="26"/>
    <w:bookmarkStart w:id="27" w:name="conclusion"/>
    <w:p>
      <w:pPr>
        <w:pStyle w:val="Heading2"/>
      </w:pPr>
      <w:r>
        <w:t xml:space="preserve">Conclusion</w:t>
      </w:r>
    </w:p>
    <w:p>
      <w:pPr>
        <w:pStyle w:val="FirstParagraph"/>
      </w:pPr>
      <w:r>
        <w:t xml:space="preserve">The role of a Dietitian in Russia Moscow is poised for transformation from an ancillary service to a public health cornerstone. This Thesis Proposal directly responds to the urgent need for evidence-based, locally adapted nutritional strategies in a megacity where dietary patterns profoundly influence life expectancy and quality of life. By centering the Dietitian as both an evidence generator and solution implementer, this research will establish Moscow as a model for urban dietetics in Eastern Europe. The findings will provide actionable insights not only for Russian healthcare policymakers but also for global cities grappling with similar urban nutrition challenges. Ultimately, this Thesis Proposal seeks to catalyze a paradigm shift: recognizing the Dietitian not merely as an advisor on food intake, but as a vital architect of sustainable health in the heart of Russia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Science in Urban Settings - A Focus on Dietitian Practice in Russia Moscow</dc:title>
  <dc:creator/>
  <dc:language>en</dc:language>
  <cp:keywords/>
  <dcterms:created xsi:type="dcterms:W3CDTF">2025-12-11T00:12:09Z</dcterms:created>
  <dcterms:modified xsi:type="dcterms:W3CDTF">2025-12-11T00:12:09Z</dcterms:modified>
</cp:coreProperties>
</file>

<file path=docProps/custom.xml><?xml version="1.0" encoding="utf-8"?>
<Properties xmlns="http://schemas.openxmlformats.org/officeDocument/2006/custom-properties" xmlns:vt="http://schemas.openxmlformats.org/officeDocument/2006/docPropsVTypes"/>
</file>