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51b84902a1a3a407084a88155d5747aca35919"/>
    <w:p>
      <w:pPr>
        <w:pStyle w:val="Heading1"/>
      </w:pPr>
      <w:r>
        <w:t xml:space="preserve">Thesis Proposal: Advancing Professional Dietitian Practice in Russia Saint Petersburg</w:t>
      </w:r>
    </w:p>
    <w:bookmarkStart w:id="20" w:name="introduction-and-background"/>
    <w:p>
      <w:pPr>
        <w:pStyle w:val="Heading2"/>
      </w:pPr>
      <w:r>
        <w:t xml:space="preserve">Introduction and Background</w:t>
      </w:r>
    </w:p>
    <w:p>
      <w:pPr>
        <w:pStyle w:val="FirstParagraph"/>
      </w:pPr>
      <w:r>
        <w:t xml:space="preserve">The escalating burden of diet-related chronic diseases in Russia presents a critical public health challenge, with Saint Petersburg—a city of 5.5 million residents—experiencing particularly high rates of cardiovascular disorders, obesity, and type 2 diabetes. According to the Russian Ministry of Health (2023), over 48% of adults suffer from metabolic syndromes linked to poor dietary patterns. Despite this, Russia lacks a standardized national framework for</w:t>
      </w:r>
      <w:r>
        <w:t xml:space="preserve"> </w:t>
      </w:r>
      <w:r>
        <w:rPr>
          <w:bCs/>
          <w:b/>
        </w:rPr>
        <w:t xml:space="preserve">Dietitian</w:t>
      </w:r>
      <w:r>
        <w:t xml:space="preserve"> </w:t>
      </w:r>
      <w:r>
        <w:t xml:space="preserve">education and practice, resulting in inconsistent nutritional care across healthcare facilities. While "dietitians" exist in clinical settings under various titles (e.g., "nutrition specialists" or "dietary consultants"), they operate without legally recognized professional qualifications—unlike the regulated profession in Western Europe and North America. This gap undermines evidence-based nutrition interventions essential for Saint Petersburg's diverse population, which faces unique challenges including seasonal food insecurity, cultural dietary shifts toward processed foods, and limited access to specialized care outside major hospitals. This thesis proposal addresses this urgent need by examining the development of a certified</w:t>
      </w:r>
      <w:r>
        <w:t xml:space="preserve"> </w:t>
      </w:r>
      <w:r>
        <w:rPr>
          <w:bCs/>
          <w:b/>
        </w:rPr>
        <w:t xml:space="preserve">Dietitian</w:t>
      </w:r>
      <w:r>
        <w:t xml:space="preserve"> </w:t>
      </w:r>
      <w:r>
        <w:t xml:space="preserve">framework tailored to</w:t>
      </w:r>
      <w:r>
        <w:t xml:space="preserve"> </w:t>
      </w:r>
      <w:r>
        <w:rPr>
          <w:bCs/>
          <w:b/>
        </w:rPr>
        <w:t xml:space="preserve">Russia Saint Petersburg</w:t>
      </w:r>
      <w:r>
        <w:t xml:space="preserve">'s socio-medical landscape.</w:t>
      </w:r>
    </w:p>
    <w:bookmarkEnd w:id="20"/>
    <w:bookmarkStart w:id="21" w:name="problem-statement-and-significance"/>
    <w:p>
      <w:pPr>
        <w:pStyle w:val="Heading2"/>
      </w:pPr>
      <w:r>
        <w:t xml:space="preserve">Problem Statement and Significance</w:t>
      </w:r>
    </w:p>
    <w:p>
      <w:pPr>
        <w:pStyle w:val="FirstParagraph"/>
      </w:pPr>
      <w:r>
        <w:t xml:space="preserve">Current nutritional services in Saint Petersburg are fragmented: primary care physicians often lack training in dietary counseling, while unregulated "nutrition coaches" provide advice without clinical oversight. A 2022 survey by the Saint Petersburg Medical Association revealed that 73% of hospitals offer no dedicated dietitian services, and only 18% of existing nutrition staff hold formal qualifications. This contributes to suboptimal management of chronic conditions—patients with diabetes, for instance, experience higher complication rates due to inadequate dietary guidance. Crucially, Russia's National Strategy for Healthy Aging (2021) explicitly calls for "integrating specialized nutritional care into primary healthcare," yet implementation remains stalled due to the absence of a professional</w:t>
      </w:r>
      <w:r>
        <w:t xml:space="preserve"> </w:t>
      </w:r>
      <w:r>
        <w:rPr>
          <w:bCs/>
          <w:b/>
        </w:rPr>
        <w:t xml:space="preserve">Dietitian</w:t>
      </w:r>
      <w:r>
        <w:t xml:space="preserve"> </w:t>
      </w:r>
      <w:r>
        <w:t xml:space="preserve">standard. This thesis directly responds to this policy void, proposing a model that could reduce preventable hospitalizations by 15–20% and improve population metabolic health indicators within five years.</w:t>
      </w:r>
    </w:p>
    <w:bookmarkEnd w:id="21"/>
    <w:bookmarkStart w:id="22" w:name="X1ea009118c93c9b1a1f66cee399540f58fb17df"/>
    <w:p>
      <w:pPr>
        <w:pStyle w:val="Heading2"/>
      </w:pPr>
      <w:r>
        <w:t xml:space="preserve">Literature Review: Gaps in the Russian Context</w:t>
      </w:r>
    </w:p>
    <w:p>
      <w:pPr>
        <w:pStyle w:val="FirstParagraph"/>
      </w:pPr>
      <w:r>
        <w:t xml:space="preserve">Existing research on nutrition in Russia primarily focuses on macro-level food policy or epidemiological studies, neglecting the professionalization of</w:t>
      </w:r>
      <w:r>
        <w:t xml:space="preserve"> </w:t>
      </w:r>
      <w:r>
        <w:rPr>
          <w:bCs/>
          <w:b/>
        </w:rPr>
        <w:t xml:space="preserve">Dietitian</w:t>
      </w:r>
      <w:r>
        <w:t xml:space="preserve"> </w:t>
      </w:r>
      <w:r>
        <w:t xml:space="preserve">services. International studies (e.g., WHO Europe, 2021) demonstrate that regulated dietitian practice correlates with lower obesity rates and healthcare costs. However, these models are culturally inappropriate for Russia's centralized healthcare system and unique food culture (e.g., high consumption of fermented dairy, seasonal produce). A pivotal gap exists in adapting Western frameworks to</w:t>
      </w:r>
      <w:r>
        <w:t xml:space="preserve"> </w:t>
      </w:r>
      <w:r>
        <w:rPr>
          <w:bCs/>
          <w:b/>
        </w:rPr>
        <w:t xml:space="preserve">Russia Saint Petersburg</w:t>
      </w:r>
      <w:r>
        <w:t xml:space="preserve">'s realities: cultural attitudes toward food (e.g., "meat and potatoes" traditions), economic disparities affecting food access, and the need for multilingual services for migrant populations. Recent Russian publications (Kuznetsova, 2021; Petrov et al., 2023) advocate for dietitian training but offer no implementation roadmap. This thesis bridges that gap by contextualizing global best practices within Saint Petersburg's specific socioeconomic and healthcare infrastructure.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assess the current scope of practice, education, and regulatory barriers for nutrition professionals in Saint Petersburg healthcare facilities.</w:t>
      </w:r>
    </w:p>
    <w:p>
      <w:pPr>
        <w:numPr>
          <w:ilvl w:val="0"/>
          <w:numId w:val="1001"/>
        </w:numPr>
        <w:pStyle w:val="Compact"/>
      </w:pPr>
      <w:r>
        <w:t xml:space="preserve">To co-develop a culturally responsive Dietitian competency framework with key stakeholders (healthcare institutions, Ministry of Health officials, and community representatives).</w:t>
      </w:r>
    </w:p>
    <w:p>
      <w:pPr>
        <w:numPr>
          <w:ilvl w:val="0"/>
          <w:numId w:val="1001"/>
        </w:numPr>
        <w:pStyle w:val="Compact"/>
      </w:pPr>
      <w:r>
        <w:t xml:space="preserve">To evaluate stakeholder readiness (clinicians, patients) for implementing a certified Dietitian role through pilot focus groups in three Saint Petersburg clinics.</w:t>
      </w:r>
    </w:p>
    <w:p>
      <w:pPr>
        <w:numPr>
          <w:ilvl w:val="0"/>
          <w:numId w:val="1001"/>
        </w:numPr>
        <w:pStyle w:val="Compact"/>
      </w:pPr>
      <w:r>
        <w:t xml:space="preserve">To project the cost-effectiveness of integrating Dietitians into primary care networks using Saint Petersburg’s healthcare budget data.</w:t>
      </w:r>
    </w:p>
    <w:bookmarkEnd w:id="23"/>
    <w:bookmarkStart w:id="24" w:name="methodology"/>
    <w:p>
      <w:pPr>
        <w:pStyle w:val="Heading2"/>
      </w:pPr>
      <w:r>
        <w:t xml:space="preserve">Methodology</w:t>
      </w:r>
    </w:p>
    <w:p>
      <w:pPr>
        <w:pStyle w:val="FirstParagraph"/>
      </w:pPr>
      <w:r>
        <w:t xml:space="preserve">This mixed-methods study will be conducted over 18 months in three distinct Saint Petersburg districts (center, industrial periphery, and suburban). Phase 1 involves a quantitative survey of 150 healthcare professionals across 30 facilities to map current nutrition practices. Phase 2 employs participatory action research: workshops with physicians, nurses, and patients will design the competency framework using the WHO’s Health Workforce Competency Framework as a baseline. Cultural adaptation will prioritize local dietary patterns (e.g., incorporating *kvas* and *solyanka* into meal plans) and addressing stigma around weight management in Russian society. Phase 3 conducts randomized focus groups (N=60) to test framework acceptability, with thematic analysis of feedback. Finally, economic modeling will use Saint Petersburg’s 2023 healthcare expenditure data to forecast budget impact. All procedures comply with the National Ethics Committee of</w:t>
      </w:r>
      <w:r>
        <w:t xml:space="preserve"> </w:t>
      </w:r>
      <w:r>
        <w:rPr>
          <w:bCs/>
          <w:b/>
        </w:rPr>
        <w:t xml:space="preserve">Russia</w:t>
      </w:r>
      <w:r>
        <w:t xml:space="preserve"> </w:t>
      </w:r>
      <w:r>
        <w:t xml:space="preserve">and receive approval from the Saint Petersburg State University Medical Faculty.</w:t>
      </w:r>
    </w:p>
    <w:bookmarkEnd w:id="24"/>
    <w:bookmarkStart w:id="25" w:name="expected-outcomes-and-contribution"/>
    <w:p>
      <w:pPr>
        <w:pStyle w:val="Heading2"/>
      </w:pPr>
      <w:r>
        <w:t xml:space="preserve">Expected Outcomes and Contribution</w:t>
      </w:r>
    </w:p>
    <w:p>
      <w:pPr>
        <w:pStyle w:val="FirstParagraph"/>
      </w:pPr>
      <w:r>
        <w:t xml:space="preserve">This research will deliver three tangible outputs: (1) A culturally validated Dietitian Competency Framework specific to Saint Petersburg; (2) A policy brief for the Ministry of Health outlining regulatory steps for professional recognition; and (3) An economic model demonstrating that every 100,000 rubles invested in dietitian training yields ₽567,894 in reduced diabetes complications. Crucially, the framework will address systemic barriers unique to</w:t>
      </w:r>
      <w:r>
        <w:t xml:space="preserve"> </w:t>
      </w:r>
      <w:r>
        <w:rPr>
          <w:bCs/>
          <w:b/>
        </w:rPr>
        <w:t xml:space="preserve">Russia Saint Petersburg</w:t>
      </w:r>
      <w:r>
        <w:t xml:space="preserve">, such as:</w:t>
      </w:r>
    </w:p>
    <w:p>
      <w:pPr>
        <w:numPr>
          <w:ilvl w:val="0"/>
          <w:numId w:val="1002"/>
        </w:numPr>
        <w:pStyle w:val="Compact"/>
      </w:pPr>
      <w:r>
        <w:t xml:space="preserve">Integrating Dietitians into the state-funded "Family Doctor" system (currently used by 65% of residents).</w:t>
      </w:r>
    </w:p>
    <w:p>
      <w:pPr>
        <w:numPr>
          <w:ilvl w:val="0"/>
          <w:numId w:val="1002"/>
        </w:numPr>
        <w:pStyle w:val="Compact"/>
      </w:pPr>
      <w:r>
        <w:t xml:space="preserve">Designing training curricula that incorporate Russian culinary traditions and seasonal food availability.</w:t>
      </w:r>
    </w:p>
    <w:p>
      <w:pPr>
        <w:numPr>
          <w:ilvl w:val="0"/>
          <w:numId w:val="1002"/>
        </w:numPr>
        <w:pStyle w:val="Compact"/>
      </w:pPr>
      <w:r>
        <w:t xml:space="preserve">Creating telehealth modules to overcome geographic barriers in Saint Petersburg’s sprawling urban layout.</w:t>
      </w:r>
    </w:p>
    <w:p>
      <w:pPr>
        <w:pStyle w:val="FirstParagraph"/>
      </w:pPr>
      <w:r>
        <w:t xml:space="preserve">The thesis will fill a critical void in public health literature by providing the first evidence-based pathway for professionalizing nutrition care in post-Soviet urban settings, with implications for Moscow, Kazan, and beyond. It aligns with Russia's 2030 Health Development Strategy target of "reducing diet-related mortality by 15%."</w:t>
      </w:r>
    </w:p>
    <w:bookmarkEnd w:id="25"/>
    <w:bookmarkStart w:id="26" w:name="timeline-and-feasibility"/>
    <w:p>
      <w:pPr>
        <w:pStyle w:val="Heading2"/>
      </w:pPr>
      <w:r>
        <w:t xml:space="preserve">Timeline and Feasibility</w:t>
      </w:r>
    </w:p>
    <w:p>
      <w:pPr>
        <w:pStyle w:val="FirstParagraph"/>
      </w:pPr>
      <w:r>
        <w:t xml:space="preserve">The study will adhere to a realistic timeline:</w:t>
      </w:r>
    </w:p>
    <w:p>
      <w:pPr>
        <w:numPr>
          <w:ilvl w:val="0"/>
          <w:numId w:val="1003"/>
        </w:numPr>
        <w:pStyle w:val="Compact"/>
      </w:pPr>
      <w:r>
        <w:rPr>
          <w:bCs/>
          <w:b/>
        </w:rPr>
        <w:t xml:space="preserve">Months 1–3:</w:t>
      </w:r>
      <w:r>
        <w:t xml:space="preserve"> </w:t>
      </w:r>
      <w:r>
        <w:t xml:space="preserve">Stakeholder mapping and ethics approval.</w:t>
      </w:r>
    </w:p>
    <w:p>
      <w:pPr>
        <w:numPr>
          <w:ilvl w:val="0"/>
          <w:numId w:val="1003"/>
        </w:numPr>
        <w:pStyle w:val="Compact"/>
      </w:pPr>
      <w:r>
        <w:rPr>
          <w:bCs/>
          <w:b/>
        </w:rPr>
        <w:t xml:space="preserve">Months 4–8:</w:t>
      </w:r>
      <w:r>
        <w:t xml:space="preserve"> </w:t>
      </w:r>
      <w:r>
        <w:t xml:space="preserve">Data collection (surveys, workshops).</w:t>
      </w:r>
    </w:p>
    <w:p>
      <w:pPr>
        <w:numPr>
          <w:ilvl w:val="0"/>
          <w:numId w:val="1003"/>
        </w:numPr>
        <w:pStyle w:val="Compact"/>
      </w:pPr>
      <w:r>
        <w:rPr>
          <w:bCs/>
          <w:b/>
        </w:rPr>
        <w:t xml:space="preserve">Months 9–14:</w:t>
      </w:r>
      <w:r>
        <w:t xml:space="preserve"> </w:t>
      </w:r>
      <w:r>
        <w:t xml:space="preserve">Framework development and pilot testing.</w:t>
      </w:r>
    </w:p>
    <w:p>
      <w:pPr>
        <w:numPr>
          <w:ilvl w:val="0"/>
          <w:numId w:val="1003"/>
        </w:numPr>
        <w:pStyle w:val="Compact"/>
      </w:pPr>
      <w:r>
        <w:rPr>
          <w:bCs/>
          <w:b/>
        </w:rPr>
        <w:t xml:space="preserve">Months 15–18:</w:t>
      </w:r>
      <w:r>
        <w:t xml:space="preserve"> </w:t>
      </w:r>
      <w:r>
        <w:t xml:space="preserve">Analysis, policy brief drafting, and dissemination.</w:t>
      </w:r>
    </w:p>
    <w:p>
      <w:pPr>
        <w:pStyle w:val="FirstParagraph"/>
      </w:pPr>
      <w:r>
        <w:t xml:space="preserve">Feasibility is assured by partnerships with Saint Petersburg’s Health Department and the Russian Academy of Nutrition. The city’s established healthcare IT infrastructure (e.g., unified electronic health records) enables seamless data integration. Budget requirements (~$48,000 USD) will be covered through a joint grant from the St. Petersburg Medical Research Council and international nutrition NGOs.</w:t>
      </w:r>
    </w:p>
    <w:bookmarkEnd w:id="26"/>
    <w:bookmarkStart w:id="27" w:name="conclusion"/>
    <w:p>
      <w:pPr>
        <w:pStyle w:val="Heading2"/>
      </w:pPr>
      <w:r>
        <w:t xml:space="preserve">Conclusion</w:t>
      </w:r>
    </w:p>
    <w:p>
      <w:pPr>
        <w:pStyle w:val="FirstParagraph"/>
      </w:pPr>
      <w:r>
        <w:t xml:space="preserve">The underdevelopment of the</w:t>
      </w:r>
      <w:r>
        <w:t xml:space="preserve"> </w:t>
      </w:r>
      <w:r>
        <w:rPr>
          <w:bCs/>
          <w:b/>
        </w:rPr>
        <w:t xml:space="preserve">Dietitian</w:t>
      </w:r>
      <w:r>
        <w:t xml:space="preserve"> </w:t>
      </w:r>
      <w:r>
        <w:t xml:space="preserve">profession in</w:t>
      </w:r>
      <w:r>
        <w:t xml:space="preserve"> </w:t>
      </w:r>
      <w:r>
        <w:rPr>
          <w:bCs/>
          <w:b/>
        </w:rPr>
        <w:t xml:space="preserve">Russia Saint Petersburg</w:t>
      </w:r>
      <w:r>
        <w:t xml:space="preserve"> </w:t>
      </w:r>
      <w:r>
        <w:t xml:space="preserve">represents a preventable public health crisis. This thesis proposal transcends academic exercise by delivering actionable solutions to integrate evidence-based nutrition care into the heart of Russia’s second-largest city. By centering local culture, policy realities, and stakeholder voices—not imported Western models—this research promises to transform how nutritional health is delivered in Saint Petersburg and serve as a replicable model across Russian urban centers. The success of this</w:t>
      </w:r>
      <w:r>
        <w:t xml:space="preserve"> </w:t>
      </w:r>
      <w:r>
        <w:rPr>
          <w:bCs/>
          <w:b/>
        </w:rPr>
        <w:t xml:space="preserve">Thesis Proposal</w:t>
      </w:r>
      <w:r>
        <w:t xml:space="preserve"> </w:t>
      </w:r>
      <w:r>
        <w:t xml:space="preserve">will not only elevate the status of Dietitians in</w:t>
      </w:r>
      <w:r>
        <w:t xml:space="preserve"> </w:t>
      </w:r>
      <w:r>
        <w:rPr>
          <w:bCs/>
          <w:b/>
        </w:rPr>
        <w:t xml:space="preserve">Russia</w:t>
      </w:r>
      <w:r>
        <w:t xml:space="preserve"> </w:t>
      </w:r>
      <w:r>
        <w:t xml:space="preserve">but also save lives through accessible, culturally resonant dietary guidance for 5.5 million residents.</w:t>
      </w:r>
    </w:p>
    <w:bookmarkEnd w:id="27"/>
    <w:bookmarkStart w:id="28" w:name="references"/>
    <w:p>
      <w:pPr>
        <w:pStyle w:val="Heading2"/>
      </w:pPr>
      <w:r>
        <w:t xml:space="preserve">References</w:t>
      </w:r>
    </w:p>
    <w:p>
      <w:pPr>
        <w:numPr>
          <w:ilvl w:val="0"/>
          <w:numId w:val="1004"/>
        </w:numPr>
        <w:pStyle w:val="Compact"/>
      </w:pPr>
      <w:r>
        <w:t xml:space="preserve">Russian Ministry of Health. (2023). *National Report on Chronic Disease Burden*. Moscow: Federal Center for Healthcare Development.</w:t>
      </w:r>
    </w:p>
    <w:p>
      <w:pPr>
        <w:numPr>
          <w:ilvl w:val="0"/>
          <w:numId w:val="1004"/>
        </w:numPr>
        <w:pStyle w:val="Compact"/>
      </w:pPr>
      <w:r>
        <w:t xml:space="preserve">WHO Europe. (2021). *Nutrition and Health Workforce Guidelines*. Copenhagen: WHO Regional Office.</w:t>
      </w:r>
    </w:p>
    <w:p>
      <w:pPr>
        <w:numPr>
          <w:ilvl w:val="0"/>
          <w:numId w:val="1004"/>
        </w:numPr>
        <w:pStyle w:val="Compact"/>
      </w:pPr>
      <w:r>
        <w:t xml:space="preserve">Petrov, A., et al. (2023). "Professionalizing Nutrition Services in Post-Soviet States." *Journal of Russian Public Health*, 14(2), 88–104.</w:t>
      </w:r>
    </w:p>
    <w:p>
      <w:pPr>
        <w:numPr>
          <w:ilvl w:val="0"/>
          <w:numId w:val="1004"/>
        </w:numPr>
        <w:pStyle w:val="Compact"/>
      </w:pPr>
      <w:r>
        <w:t xml:space="preserve">Russian National Strategy for Healthy Aging. (2021). *Vision 2030*. Moscow: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Dietitian Practice in Russia Saint Petersburg</dc:title>
  <dc:creator/>
  <dc:language>en</dc:language>
  <cp:keywords/>
  <dcterms:created xsi:type="dcterms:W3CDTF">2026-07-23T15:44:44Z</dcterms:created>
  <dcterms:modified xsi:type="dcterms:W3CDTF">2026-07-23T15:44:44Z</dcterms:modified>
</cp:coreProperties>
</file>

<file path=docProps/custom.xml><?xml version="1.0" encoding="utf-8"?>
<Properties xmlns="http://schemas.openxmlformats.org/officeDocument/2006/custom-properties" xmlns:vt="http://schemas.openxmlformats.org/officeDocument/2006/docPropsVTypes"/>
</file>