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Berlin</w:t>
      </w:r>
    </w:p>
    <w:bookmarkStart w:id="28" w:name="Xd4eab32c5de8886f09465d9d4ccc622c7532e89"/>
    <w:p>
      <w:pPr>
        <w:pStyle w:val="Heading1"/>
      </w:pPr>
      <w:r>
        <w:t xml:space="preserve">Thesis Proposal:</w:t>
      </w:r>
      <w:r>
        <w:br/>
      </w:r>
      <w:r>
        <w:t xml:space="preserve">The Evolving Role of the Diplomat in Germany Berlin</w:t>
      </w:r>
    </w:p>
    <w:bookmarkStart w:id="20" w:name="introduction-and-background"/>
    <w:p>
      <w:pPr>
        <w:pStyle w:val="Heading2"/>
      </w:pPr>
      <w:r>
        <w:t xml:space="preserve">1. Introduction and Background</w:t>
      </w:r>
    </w:p>
    <w:p>
      <w:pPr>
        <w:pStyle w:val="FirstParagraph"/>
      </w:pPr>
      <w:r>
        <w:t xml:space="preserve">As the political and diplomatic heart of Europe, Germany Berlin stands at the epicenter of contemporary international relations. With over 170 foreign embassies and numerous international organizations headquartered in this dynamic metropolis—including the European Union institutions, NATO's Allied Command Transformation, and major UN agencies—the role of the diplomat in Germany Berlin has never been more complex or consequential. This thesis proposal examines how modern diplomatic practice is reshaping the professional identity, operational methodologies, and strategic impact of diplomats operating within Germany’s capital city. As Europe navigates multipolar geopolitical tensions, climate crises, and digital transformation, Berlin's diplomatic corps serves as a critical interface between German foreign policy objectives and global realities.</w:t>
      </w:r>
    </w:p>
    <w:p>
      <w:pPr>
        <w:pStyle w:val="BodyText"/>
      </w:pPr>
      <w:r>
        <w:t xml:space="preserve">The significance of this research stems from Berlin's unique position: it is not merely Germany's administrative center but the strategic nerve center for European integration. Following reunification in 1990, Berlin transformed from a divided city into Europe’s preeminent diplomatic hub, where diplomats engage with both traditional state actors and emerging non-state entities. This environment demands that the contemporary diplomat transcend conventional representational roles to become a multifaceted strategist, cultural mediator, and crisis manager. This proposal argues that understanding these evolving dynamics is essential for Germany’s continued influence in global governance.</w:t>
      </w:r>
    </w:p>
    <w:bookmarkEnd w:id="20"/>
    <w:bookmarkStart w:id="21" w:name="research-problem-statement"/>
    <w:p>
      <w:pPr>
        <w:pStyle w:val="Heading2"/>
      </w:pPr>
      <w:r>
        <w:t xml:space="preserve">2. Research Problem Statement</w:t>
      </w:r>
    </w:p>
    <w:p>
      <w:pPr>
        <w:pStyle w:val="FirstParagraph"/>
      </w:pPr>
      <w:r>
        <w:t xml:space="preserve">Despite Germany’s prominence in international affairs, there exists a significant gap in empirical research examining the lived experiences and adaptive strategies of diplomats operating within Berlin's unique ecosystem. Current scholarship often treats diplomacy as a static profession rather than an evolving practice shaped by Berlin’s specific political landscape. Critical challenges include:</w:t>
      </w:r>
    </w:p>
    <w:p>
      <w:pPr>
        <w:numPr>
          <w:ilvl w:val="0"/>
          <w:numId w:val="1001"/>
        </w:numPr>
        <w:pStyle w:val="Compact"/>
      </w:pPr>
      <w:r>
        <w:t xml:space="preserve">Integrating digital diplomacy tools into traditional diplomatic protocols within Berlin's embassy network</w:t>
      </w:r>
    </w:p>
    <w:p>
      <w:pPr>
        <w:numPr>
          <w:ilvl w:val="0"/>
          <w:numId w:val="1001"/>
        </w:numPr>
        <w:pStyle w:val="Compact"/>
      </w:pPr>
      <w:r>
        <w:t xml:space="preserve">Navigating Germany’s dual role as a EU leader and NATO anchor amid Russian aggression and US-EU tensions</w:t>
      </w:r>
    </w:p>
    <w:p>
      <w:pPr>
        <w:numPr>
          <w:ilvl w:val="0"/>
          <w:numId w:val="1001"/>
        </w:numPr>
        <w:pStyle w:val="Compact"/>
      </w:pPr>
      <w:r>
        <w:t xml:space="preserve">Addressing the cultural complexities of representing foreign interests in Germany’s diverse, post-unification society</w:t>
      </w:r>
    </w:p>
    <w:p>
      <w:pPr>
        <w:pStyle w:val="FirstParagraph"/>
      </w:pPr>
      <w:r>
        <w:t xml:space="preserve">This research directly responds to these challenges by investigating how diplomats in Berlin are redefining their role to meet 21st-century demands while upholding Germany's diplomatic traditions.</w:t>
      </w:r>
    </w:p>
    <w:bookmarkEnd w:id="21"/>
    <w:bookmarkStart w:id="22" w:name="research-questions"/>
    <w:p>
      <w:pPr>
        <w:pStyle w:val="Heading2"/>
      </w:pPr>
      <w:r>
        <w:t xml:space="preserve">3. Research Questions</w:t>
      </w:r>
    </w:p>
    <w:p>
      <w:pPr>
        <w:numPr>
          <w:ilvl w:val="0"/>
          <w:numId w:val="1002"/>
        </w:numPr>
        <w:pStyle w:val="Compact"/>
      </w:pPr>
      <w:r>
        <w:t xml:space="preserve">How do diplomats in Berlin adapt traditional diplomatic practices to address emerging security challenges (e.g., cyber warfare, hybrid conflicts) while maintaining Germany's commitment to multilateralism?</w:t>
      </w:r>
    </w:p>
    <w:p>
      <w:pPr>
        <w:numPr>
          <w:ilvl w:val="0"/>
          <w:numId w:val="1002"/>
        </w:numPr>
        <w:pStyle w:val="Compact"/>
      </w:pPr>
      <w:r>
        <w:t xml:space="preserve">To what extent does Berlin’s position as a global diplomatic hub influence the professional development and networking strategies of foreign service officers compared to other national capitals?</w:t>
      </w:r>
    </w:p>
    <w:p>
      <w:pPr>
        <w:numPr>
          <w:ilvl w:val="0"/>
          <w:numId w:val="1002"/>
        </w:numPr>
        <w:pStyle w:val="Compact"/>
      </w:pPr>
      <w:r>
        <w:t xml:space="preserve">How do diplomats navigate Germany’s distinctive political culture—marked by consensus-driven governance and historical sensitivity—in crafting effective foreign policy communication?</w:t>
      </w:r>
    </w:p>
    <w:bookmarkEnd w:id="22"/>
    <w:bookmarkStart w:id="23" w:name="literature-review"/>
    <w:p>
      <w:pPr>
        <w:pStyle w:val="Heading2"/>
      </w:pPr>
      <w:r>
        <w:t xml:space="preserve">4. Literature Review</w:t>
      </w:r>
    </w:p>
    <w:p>
      <w:pPr>
        <w:pStyle w:val="FirstParagraph"/>
      </w:pPr>
      <w:r>
        <w:t xml:space="preserve">Existing scholarship on diplomacy often focuses on theoretical frameworks (e.g., Nye’s soft power theory) or case studies of major crises (e.g., the Ukraine war). However, few studies examine Berlin as a microcosm of diplomatic evolution. Recent works by Buzan (2018) on European security and Kornberg (2021) on digital diplomacy provide foundational context but lack empirical depth in Germany’s capital setting. This research bridges that gap by situating the diplomat within Berlin’s specific institutional architecture—the Federal Foreign Office, the German Institute for International Affairs, and bilateral embassy networks—while addressing three key dimensions: technological adaptation, cultural competence, and strategic communication.</w:t>
      </w:r>
    </w:p>
    <w:bookmarkEnd w:id="23"/>
    <w:bookmarkStart w:id="24" w:name="methodology"/>
    <w:p>
      <w:pPr>
        <w:pStyle w:val="Heading2"/>
      </w:pPr>
      <w:r>
        <w:t xml:space="preserve">5. Methodology</w:t>
      </w:r>
    </w:p>
    <w:p>
      <w:pPr>
        <w:pStyle w:val="FirstParagraph"/>
      </w:pPr>
      <w:r>
        <w:t xml:space="preserve">This study employs a mixed-methods approach centered on Berlin:</w:t>
      </w:r>
    </w:p>
    <w:p>
      <w:pPr>
        <w:numPr>
          <w:ilvl w:val="0"/>
          <w:numId w:val="1003"/>
        </w:numPr>
        <w:pStyle w:val="Compact"/>
      </w:pPr>
      <w:r>
        <w:rPr>
          <w:bCs/>
          <w:b/>
        </w:rPr>
        <w:t xml:space="preserve">Qualitative Interviews:</w:t>
      </w:r>
      <w:r>
        <w:t xml:space="preserve"> </w:t>
      </w:r>
      <w:r>
        <w:t xml:space="preserve">Semi-structured interviews with 30 diplomats (including career officers from the German Foreign Service and representatives of key embassies in Berlin) across diverse nationalities</w:t>
      </w:r>
    </w:p>
    <w:p>
      <w:pPr>
        <w:numPr>
          <w:ilvl w:val="0"/>
          <w:numId w:val="1003"/>
        </w:numPr>
        <w:pStyle w:val="Compact"/>
      </w:pPr>
      <w:r>
        <w:rPr>
          <w:bCs/>
          <w:b/>
        </w:rPr>
        <w:t xml:space="preserve">Field Observation:</w:t>
      </w:r>
      <w:r>
        <w:t xml:space="preserve"> </w:t>
      </w:r>
      <w:r>
        <w:t xml:space="preserve">Participation in diplomatic events at the Foreign Office, Berlin International Security Forum, and EU diplomatic circles</w:t>
      </w:r>
    </w:p>
    <w:p>
      <w:pPr>
        <w:numPr>
          <w:ilvl w:val="0"/>
          <w:numId w:val="1003"/>
        </w:numPr>
        <w:pStyle w:val="Compact"/>
      </w:pPr>
      <w:r>
        <w:rPr>
          <w:bCs/>
          <w:b/>
        </w:rPr>
        <w:t xml:space="preserve">Document Analysis:</w:t>
      </w:r>
      <w:r>
        <w:t xml:space="preserve"> </w:t>
      </w:r>
      <w:r>
        <w:t xml:space="preserve">Review of Germany's Foreign Policy Strategy (2023), UN resolutions debated in Berlin, and embassy communications</w:t>
      </w:r>
    </w:p>
    <w:p>
      <w:pPr>
        <w:pStyle w:val="FirstParagraph"/>
      </w:pPr>
      <w:r>
        <w:t xml:space="preserve">Data collection will occur over six months in 2024. Thematic analysis will identify patterns in how diplomats reconcile traditional protocols with modern demands, with particular attention to Berlin’s unique context as Germany’s diplomatic capital.</w:t>
      </w:r>
    </w:p>
    <w:bookmarkEnd w:id="24"/>
    <w:bookmarkStart w:id="25" w:name="expected-contributions"/>
    <w:p>
      <w:pPr>
        <w:pStyle w:val="Heading2"/>
      </w:pPr>
      <w:r>
        <w:t xml:space="preserve">6. Expected Contributions</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Develop a "Berlin Diplomacy Framework" integrating digital transformation, cultural sensitivity, and multilateral strategy into diplomatic theory</w:t>
      </w:r>
    </w:p>
    <w:p>
      <w:pPr>
        <w:numPr>
          <w:ilvl w:val="0"/>
          <w:numId w:val="1004"/>
        </w:numPr>
        <w:pStyle w:val="Compact"/>
      </w:pPr>
      <w:r>
        <w:rPr>
          <w:bCs/>
          <w:b/>
        </w:rPr>
        <w:t xml:space="preserve">Practical:</w:t>
      </w:r>
      <w:r>
        <w:t xml:space="preserve"> </w:t>
      </w:r>
      <w:r>
        <w:t xml:space="preserve">Provide Germany’s Foreign Office with actionable insights for diplomat training programs addressing contemporary challenges</w:t>
      </w:r>
    </w:p>
    <w:p>
      <w:pPr>
        <w:numPr>
          <w:ilvl w:val="0"/>
          <w:numId w:val="1004"/>
        </w:numPr>
        <w:pStyle w:val="Compact"/>
      </w:pPr>
      <w:r>
        <w:rPr>
          <w:bCs/>
          <w:b/>
        </w:rPr>
        <w:t xml:space="preserve">Policy-Relevant:</w:t>
      </w:r>
      <w:r>
        <w:t xml:space="preserve"> </w:t>
      </w:r>
      <w:r>
        <w:t xml:space="preserve">Offer European institutions evidence-based strategies for enhancing Berlin’s role as a hub for inclusive global governance</w:t>
      </w:r>
    </w:p>
    <w:p>
      <w:pPr>
        <w:pStyle w:val="FirstParagraph"/>
      </w:pPr>
      <w:r>
        <w:t xml:space="preserve">The findings will directly inform how future diplomats in Germany Berlin navigate the intersection of national interest and transnational cooperation—particularly critical as Europe faces its most complex security environment since the Cold War.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Jan–Mar 2024</w:t>
            </w:r>
          </w:p>
        </w:tc>
        <w:tc>
          <w:tcPr/>
          <w:p>
            <w:pPr>
              <w:pStyle w:val="Compact"/>
              <w:jc w:val="left"/>
            </w:pPr>
            <w:r>
              <w:t xml:space="preserve">Finalized research protocol and ethics approval</w:t>
            </w:r>
          </w:p>
        </w:tc>
      </w:tr>
      <w:tr>
        <w:tc>
          <w:tcPr/>
          <w:p>
            <w:pPr>
              <w:pStyle w:val="Compact"/>
              <w:jc w:val="left"/>
            </w:pPr>
            <w:r>
              <w:t xml:space="preserve">Data Collection (Interviews/Observation)</w:t>
            </w:r>
          </w:p>
        </w:tc>
        <w:tc>
          <w:tcPr/>
          <w:p>
            <w:pPr>
              <w:pStyle w:val="Compact"/>
              <w:jc w:val="left"/>
            </w:pPr>
            <w:r>
              <w:t xml:space="preserve">Apr–Jun 2024</w:t>
            </w:r>
          </w:p>
        </w:tc>
        <w:tc>
          <w:tcPr/>
          <w:p>
            <w:pPr>
              <w:pStyle w:val="Compact"/>
              <w:jc w:val="left"/>
            </w:pPr>
            <w:r>
              <w:t xml:space="preserve">Transcribed interviews; field notes</w:t>
            </w:r>
          </w:p>
        </w:tc>
      </w:tr>
      <w:tr>
        <w:tc>
          <w:tcPr/>
          <w:p>
            <w:pPr>
              <w:pStyle w:val="Compact"/>
              <w:jc w:val="left"/>
            </w:pPr>
            <w:r>
              <w:t xml:space="preserve">Data Analysis &amp; Drafting</w:t>
            </w:r>
          </w:p>
        </w:tc>
        <w:tc>
          <w:tcPr/>
          <w:p>
            <w:pPr>
              <w:pStyle w:val="Compact"/>
              <w:jc w:val="left"/>
            </w:pPr>
            <w:r>
              <w:t xml:space="preserve">Jul–Sep 2024</w:t>
            </w:r>
          </w:p>
        </w:tc>
        <w:tc>
          <w:tcPr/>
          <w:p>
            <w:pPr>
              <w:pStyle w:val="Compact"/>
              <w:jc w:val="left"/>
            </w:pPr>
            <w:r>
              <w:t xml:space="preserve">Thematic analysis report; draft thesis chapters</w:t>
            </w:r>
          </w:p>
        </w:tc>
      </w:tr>
      <w:tr>
        <w:tc>
          <w:tcPr/>
          <w:p>
            <w:pPr>
              <w:pStyle w:val="Compact"/>
              <w:jc w:val="left"/>
            </w:pPr>
            <w:r>
              <w:t xml:space="preserve">Revision &amp; Final Submission</w:t>
            </w:r>
          </w:p>
        </w:tc>
        <w:tc>
          <w:tcPr/>
          <w:p>
            <w:pPr>
              <w:pStyle w:val="Compact"/>
              <w:jc w:val="left"/>
            </w:pPr>
            <w:r>
              <w:t xml:space="preserve">Oct–Dec 2024</w:t>
            </w:r>
          </w:p>
        </w:tc>
        <w:tc>
          <w:tcPr/>
          <w:p>
            <w:pPr>
              <w:pStyle w:val="Compact"/>
              <w:jc w:val="left"/>
            </w:pPr>
            <w:r>
              <w:t xml:space="preserve">Completed thesis; policy brief for German Foreign Office</w:t>
            </w:r>
          </w:p>
        </w:tc>
      </w:tr>
    </w:tbl>
    <w:bookmarkEnd w:id="26"/>
    <w:bookmarkStart w:id="27" w:name="conclusion"/>
    <w:p>
      <w:pPr>
        <w:pStyle w:val="Heading2"/>
      </w:pPr>
      <w:r>
        <w:t xml:space="preserve">8. Conclusion</w:t>
      </w:r>
    </w:p>
    <w:p>
      <w:pPr>
        <w:pStyle w:val="FirstParagraph"/>
      </w:pPr>
      <w:r>
        <w:t xml:space="preserve">The diplomat operating in Germany Berlin is no longer a passive observer but an active architect of international order. As this thesis demonstrates, the challenges facing diplomats in Berlin—from managing disinformation campaigns to fostering EU-China dialogue—demand unprecedented adaptability. By centering our analysis on Germany’s capital, this research transcends theoretical abstraction to deliver concrete insights for practitioners and policymakers alike. In a world where diplomatic innovation increasingly determines national security and global stability, understanding the modern diplomat’s role within Germany Berlin is not merely academic—it is foundational to Europe’s future.</w:t>
      </w:r>
    </w:p>
    <w:p>
      <w:pPr>
        <w:pStyle w:val="BodyText"/>
      </w:pPr>
      <w:r>
        <w:t xml:space="preserve">This thesis proposal establishes a rigorous framework for examining how diplomats navigate Berlin’s unique ecosystem to advance both German interests and broader international cooperation. It positions the Diplomat as the central agent in Germany's strategic engagement with the world, with Berlin serving as the indispensable laboratory for 21st-century diplomacy.</w:t>
      </w:r>
    </w:p>
    <w:bookmarkEnd w:id="27"/>
    <w:p>
      <w:pPr>
        <w:pStyle w:val="BodyText"/>
      </w:pPr>
      <w:r>
        <w:t xml:space="preserve">Word Count: 842 | Thesis Proposal Document | Department of International Relations, Humboldt University of Berlin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Germany Berlin</dc:title>
  <dc:creator/>
  <dc:language>en</dc:language>
  <cp:keywords/>
  <dcterms:created xsi:type="dcterms:W3CDTF">2026-07-18T07:47:12Z</dcterms:created>
  <dcterms:modified xsi:type="dcterms:W3CDTF">2026-07-18T07:47:12Z</dcterms:modified>
</cp:coreProperties>
</file>

<file path=docProps/custom.xml><?xml version="1.0" encoding="utf-8"?>
<Properties xmlns="http://schemas.openxmlformats.org/officeDocument/2006/custom-properties" xmlns:vt="http://schemas.openxmlformats.org/officeDocument/2006/docPropsVTypes"/>
</file>