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Role</w:t>
      </w:r>
      <w:r>
        <w:t xml:space="preserve"> </w:t>
      </w:r>
      <w:r>
        <w:t xml:space="preserve">in</w:t>
      </w:r>
      <w:r>
        <w:t xml:space="preserve"> </w:t>
      </w:r>
      <w:r>
        <w:t xml:space="preserve">International</w:t>
      </w:r>
      <w:r>
        <w:t xml:space="preserve"> </w:t>
      </w:r>
      <w:r>
        <w:t xml:space="preserve">Relations</w:t>
      </w:r>
      <w:r>
        <w:t xml:space="preserve"> </w:t>
      </w:r>
      <w:r>
        <w:t xml:space="preserve">at</w:t>
      </w:r>
      <w:r>
        <w:t xml:space="preserve"> </w:t>
      </w:r>
      <w:r>
        <w:t xml:space="preserve">Iran</w:t>
      </w:r>
      <w:r>
        <w:t xml:space="preserve"> </w:t>
      </w:r>
      <w:r>
        <w:t xml:space="preserve">Tehran</w:t>
      </w:r>
    </w:p>
    <w:bookmarkStart w:id="30" w:name="X1ee514467c82563c47ef304775261767d8bc413"/>
    <w:p>
      <w:pPr>
        <w:pStyle w:val="Heading1"/>
      </w:pPr>
      <w:r>
        <w:t xml:space="preserve">Thesis Proposal: The Evolving Role of Diplomats in Multilateral Engagement within Iran Tehran's Geopolitical Landscape</w:t>
      </w:r>
    </w:p>
    <w:bookmarkStart w:id="20" w:name="introduction-and-background"/>
    <w:p>
      <w:pPr>
        <w:pStyle w:val="Heading2"/>
      </w:pPr>
      <w:r>
        <w:t xml:space="preserve">1. Introduction and Background</w:t>
      </w:r>
    </w:p>
    <w:p>
      <w:pPr>
        <w:pStyle w:val="FirstParagraph"/>
      </w:pPr>
      <w:r>
        <w:t xml:space="preserve">The intricate diplomatic ecosystem surrounding Iran Tehran represents one of the most strategically significant geopolitical nexuses in contemporary international relations. As a nation possessing pivotal regional influence, nuclear capabilities, and complex historical relationships with global powers, Iran demands nuanced diplomatic engagement. This Thesis Proposal examines the critical role of modern diplomats operating within Tehran's unique political environment—a context characterized by intense sanctions pressure, multipolar power dynamics, and evolving domestic policies. The research specifically investigates how accredited Diplomats navigate these complexities to advance national interests while maintaining constructive international dialogue at a time when Iran's foreign policy is undergoing significant transformation.</w:t>
      </w:r>
    </w:p>
    <w:bookmarkEnd w:id="20"/>
    <w:bookmarkStart w:id="21" w:name="problem-statement"/>
    <w:p>
      <w:pPr>
        <w:pStyle w:val="Heading2"/>
      </w:pPr>
      <w:r>
        <w:t xml:space="preserve">2. Problem Statement</w:t>
      </w:r>
    </w:p>
    <w:p>
      <w:pPr>
        <w:pStyle w:val="FirstParagraph"/>
      </w:pPr>
      <w:r>
        <w:t xml:space="preserve">Despite Tehran's central role in Middle Eastern geopolitics, scholarly literature remains limited on the practical operational challenges faced by Diplomats in Iran. Existing studies focus predominantly on high-level statecraft or historical analysis rather than the day-to-day realities of diplomatic engagement within Iran's specific institutional and cultural framework. This gap is increasingly problematic as Iran navigates renewed nuclear negotiations (JCPOA), regional security initiatives, and economic restructuring. The inability to systematically understand Diplomat efficacy in Tehran directly impedes foreign governments' capacity to formulate effective engagement strategies, potentially exacerbating diplomatic missteps that could destabilize regional relations.</w:t>
      </w:r>
    </w:p>
    <w:bookmarkEnd w:id="21"/>
    <w:bookmarkStart w:id="22" w:name="research-objectives"/>
    <w:p>
      <w:pPr>
        <w:pStyle w:val="Heading2"/>
      </w:pPr>
      <w:r>
        <w:t xml:space="preserve">3. Research Objectives</w:t>
      </w:r>
    </w:p>
    <w:p>
      <w:pPr>
        <w:pStyle w:val="FirstParagraph"/>
      </w:pPr>
      <w:r>
        <w:t xml:space="preserve">This thesis aims to achieve the following objectives:</w:t>
      </w:r>
    </w:p>
    <w:p>
      <w:pPr>
        <w:numPr>
          <w:ilvl w:val="0"/>
          <w:numId w:val="1001"/>
        </w:numPr>
        <w:pStyle w:val="Compact"/>
      </w:pPr>
      <w:r>
        <w:t xml:space="preserve">Systematically map the operational protocols and constraints faced by Diplomats accredited to Iran's capital, Tehran, including bureaucratic hurdles and cultural mediation requirements.</w:t>
      </w:r>
    </w:p>
    <w:p>
      <w:pPr>
        <w:numPr>
          <w:ilvl w:val="0"/>
          <w:numId w:val="1001"/>
        </w:numPr>
        <w:pStyle w:val="Compact"/>
      </w:pPr>
      <w:r>
        <w:t xml:space="preserve">Analyze case studies of recent diplomatic initiatives in Tehran (2019-2023) to identify successful engagement models versus failed approaches.</w:t>
      </w:r>
    </w:p>
    <w:p>
      <w:pPr>
        <w:numPr>
          <w:ilvl w:val="0"/>
          <w:numId w:val="1001"/>
        </w:numPr>
        <w:pStyle w:val="Compact"/>
      </w:pPr>
      <w:r>
        <w:t xml:space="preserve">Evaluate how Iranian domestic political shifts—from nuclear negotiations to regional proxy conflicts—reshape Diplomat priorities and strategies.</w:t>
      </w:r>
    </w:p>
    <w:p>
      <w:pPr>
        <w:numPr>
          <w:ilvl w:val="0"/>
          <w:numId w:val="1001"/>
        </w:numPr>
        <w:pStyle w:val="Compact"/>
      </w:pPr>
      <w:r>
        <w:t xml:space="preserve">Develop a framework for optimizing Diplomat effectiveness within Iran's unique diplomatic ecosystem, incorporating both Western and non-Western perspectives.</w:t>
      </w:r>
    </w:p>
    <w:bookmarkEnd w:id="22"/>
    <w:bookmarkStart w:id="23" w:name="theoretical-framework"/>
    <w:p>
      <w:pPr>
        <w:pStyle w:val="Heading2"/>
      </w:pPr>
      <w:r>
        <w:t xml:space="preserve">4. Theoretical Framework</w:t>
      </w:r>
    </w:p>
    <w:p>
      <w:pPr>
        <w:pStyle w:val="FirstParagraph"/>
      </w:pPr>
      <w:r>
        <w:t xml:space="preserve">The research employs a hybrid theoretical lens combining constructivist international relations theory with cultural diplomacy studies. It challenges the assumption that standard diplomatic protocols universally apply in Iran by integrating insights from Persian political culture, Islamic Republic governance structures, and Tehran's specific diplomatic geography (e.g., the impact of proximity to sensitive military sites like the Imam Khomeini Airport complex). Crucially, it posits that Diplomat success in Iran Tehran hinges not merely on technical negotiation skills but on deep contextual understanding—a concept this thesis terms "Tehran-specific diplomatic literacy."</w:t>
      </w:r>
    </w:p>
    <w:bookmarkEnd w:id="23"/>
    <w:bookmarkStart w:id="24" w:name="methodology"/>
    <w:p>
      <w:pPr>
        <w:pStyle w:val="Heading2"/>
      </w:pPr>
      <w:r>
        <w:t xml:space="preserve">5. Methodology</w:t>
      </w:r>
    </w:p>
    <w:p>
      <w:pPr>
        <w:pStyle w:val="FirstParagraph"/>
      </w:pPr>
      <w:r>
        <w:t xml:space="preserve">A multi-method qualitative approach will be deployed over 18 months:</w:t>
      </w:r>
    </w:p>
    <w:p>
      <w:pPr>
        <w:numPr>
          <w:ilvl w:val="0"/>
          <w:numId w:val="1002"/>
        </w:numPr>
        <w:pStyle w:val="Compact"/>
      </w:pPr>
      <w:r>
        <w:rPr>
          <w:bCs/>
          <w:b/>
        </w:rPr>
        <w:t xml:space="preserve">Primary Data:</w:t>
      </w:r>
      <w:r>
        <w:t xml:space="preserve"> </w:t>
      </w:r>
      <w:r>
        <w:t xml:space="preserve">Semi-structured interviews (n=35) with current and former Diplomats from major embassies in Tehran, Iranian Foreign Ministry officials (via third-party channels), and regional security analysts.</w:t>
      </w:r>
    </w:p>
    <w:p>
      <w:pPr>
        <w:numPr>
          <w:ilvl w:val="0"/>
          <w:numId w:val="1002"/>
        </w:numPr>
        <w:pStyle w:val="Compact"/>
      </w:pPr>
      <w:r>
        <w:rPr>
          <w:bCs/>
          <w:b/>
        </w:rPr>
        <w:t xml:space="preserve">Document Analysis:</w:t>
      </w:r>
      <w:r>
        <w:t xml:space="preserve"> </w:t>
      </w:r>
      <w:r>
        <w:t xml:space="preserve">Examination of diplomatic cables, UN reports on Iran-related resolutions, and official statements from Tehran's Ministry of Foreign Affairs since 2018.</w:t>
      </w:r>
    </w:p>
    <w:p>
      <w:pPr>
        <w:numPr>
          <w:ilvl w:val="0"/>
          <w:numId w:val="1002"/>
        </w:numPr>
        <w:pStyle w:val="Compact"/>
      </w:pPr>
      <w:r>
        <w:rPr>
          <w:bCs/>
          <w:b/>
        </w:rPr>
        <w:t xml:space="preserve">Critical Case Studies:</w:t>
      </w:r>
      <w:r>
        <w:t xml:space="preserve"> </w:t>
      </w:r>
      <w:r>
        <w:t xml:space="preserve">Deep-dive analysis of three pivotal events: the 2021 Vienna nuclear talks (JCPoA), the 2023 Saudi-Iran rapprochement, and the 2019 U.S. drone incident.</w:t>
      </w:r>
    </w:p>
    <w:p>
      <w:pPr>
        <w:numPr>
          <w:ilvl w:val="0"/>
          <w:numId w:val="1002"/>
        </w:numPr>
        <w:pStyle w:val="Compact"/>
      </w:pPr>
      <w:r>
        <w:rPr>
          <w:bCs/>
          <w:b/>
        </w:rPr>
        <w:t xml:space="preserve">Comparative Element:</w:t>
      </w:r>
      <w:r>
        <w:t xml:space="preserve"> </w:t>
      </w:r>
      <w:r>
        <w:t xml:space="preserve">Benchmarking Tehran diplomatic operations against other complex capitals (e.g., Moscow, Ankara) to isolate Iran-specific variables.</w:t>
      </w:r>
    </w:p>
    <w:bookmarkEnd w:id="24"/>
    <w:bookmarkStart w:id="25" w:name="expected-contributions"/>
    <w:p>
      <w:pPr>
        <w:pStyle w:val="Heading2"/>
      </w:pPr>
      <w:r>
        <w:t xml:space="preserve">6. Expected Contributions</w:t>
      </w:r>
    </w:p>
    <w:p>
      <w:pPr>
        <w:pStyle w:val="FirstParagraph"/>
      </w:pPr>
      <w:r>
        <w:t xml:space="preserve">This research promises significant theoretical and practical contributions:</w:t>
      </w:r>
    </w:p>
    <w:p>
      <w:pPr>
        <w:numPr>
          <w:ilvl w:val="0"/>
          <w:numId w:val="1003"/>
        </w:numPr>
        <w:pStyle w:val="Compact"/>
      </w:pPr>
      <w:r>
        <w:rPr>
          <w:bCs/>
          <w:b/>
        </w:rPr>
        <w:t xml:space="preserve">Theoretical:</w:t>
      </w:r>
      <w:r>
        <w:t xml:space="preserve"> </w:t>
      </w:r>
      <w:r>
        <w:t xml:space="preserve">Challenges "one-size-fits-all" diplomatic models by establishing a context-bound theory of engagement for Iran, advancing scholarship on non-Western diplomatic practice.</w:t>
      </w:r>
    </w:p>
    <w:p>
      <w:pPr>
        <w:numPr>
          <w:ilvl w:val="0"/>
          <w:numId w:val="1003"/>
        </w:numPr>
        <w:pStyle w:val="Compact"/>
      </w:pPr>
      <w:r>
        <w:rPr>
          <w:bCs/>
          <w:b/>
        </w:rPr>
        <w:t xml:space="preserve">Policymaking:</w:t>
      </w:r>
      <w:r>
        <w:t xml:space="preserve"> </w:t>
      </w:r>
      <w:r>
        <w:t xml:space="preserve">Provides actionable guidelines for foreign ministries to structure Diplomat training programs targeting Iran Tehran (e.g., mandatory Persian language immersion beyond basic proficiency, cultural protocols for interactions with Revolutionary Guards representatives).</w:t>
      </w:r>
    </w:p>
    <w:p>
      <w:pPr>
        <w:numPr>
          <w:ilvl w:val="0"/>
          <w:numId w:val="1003"/>
        </w:numPr>
        <w:pStyle w:val="Compact"/>
      </w:pPr>
      <w:r>
        <w:rPr>
          <w:bCs/>
          <w:b/>
        </w:rPr>
        <w:t xml:space="preserve">Diplomatic Practice:</w:t>
      </w:r>
      <w:r>
        <w:t xml:space="preserve"> </w:t>
      </w:r>
      <w:r>
        <w:t xml:space="preserve">Identifies "red flag" scenarios where standard diplomatic procedures fail in Tehran (e.g., communication through unofficial channels during crisis), offering mitigation strategies.</w:t>
      </w:r>
    </w:p>
    <w:p>
      <w:pPr>
        <w:numPr>
          <w:ilvl w:val="0"/>
          <w:numId w:val="1003"/>
        </w:numPr>
        <w:pStyle w:val="Compact"/>
      </w:pPr>
      <w:r>
        <w:rPr>
          <w:bCs/>
          <w:b/>
        </w:rPr>
        <w:t xml:space="preserve">Regional Stability:</w:t>
      </w:r>
      <w:r>
        <w:t xml:space="preserve"> </w:t>
      </w:r>
      <w:r>
        <w:t xml:space="preserve">By improving Diplomat effectiveness, the research indirectly supports conflict prevention—critical given Iran's strategic position between the Gulf, Central Asia, and the Caucasus.</w:t>
      </w:r>
    </w:p>
    <w:bookmarkEnd w:id="25"/>
    <w:bookmarkStart w:id="26" w:name="Xc2146077af9d6d8b529571acee00d0b774f7c63"/>
    <w:p>
      <w:pPr>
        <w:pStyle w:val="Heading2"/>
      </w:pPr>
      <w:r>
        <w:t xml:space="preserve">7. Significance in Current Geopolitical Context</w:t>
      </w:r>
    </w:p>
    <w:p>
      <w:pPr>
        <w:pStyle w:val="FirstParagraph"/>
      </w:pPr>
      <w:r>
        <w:t xml:space="preserve">The urgency of this research is underscored by Tehran's current diplomatic trajectory. As Iran seeks to reduce energy sector reliance on Western markets while simultaneously engaging with BRICS nations and regional partners, Diplomats must operate across increasingly fragmented international spheres. The recent normalization between Iran and Saudi Arabia (facilitated via Beijing) demonstrates how non-traditional diplomatic channels are reshaping Tehran's engagement model—making the role of the modern Diplomat more multifaceted than ever before. Understanding this evolution is not merely academic; it directly informs U.S., European, and Gulf state strategies toward a nation whose nuclear program, proxy networks, and energy exports remain pivotal to global security.</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pPr>
          </w:p>
        </w:tc>
      </w:tr>
      <w:tr>
        <w:tc>
          <w:tcPr/>
          <w:p>
            <w:pPr>
              <w:pStyle w:val="Compact"/>
              <w:jc w:val="left"/>
            </w:pPr>
            <w:r>
              <w:t xml:space="preserve">Literature Review &amp; Design</w:t>
            </w:r>
          </w:p>
        </w:tc>
        <w:tc>
          <w:tcPr/>
          <w:p>
            <w:pPr>
              <w:pStyle w:val="Compact"/>
              <w:jc w:val="left"/>
            </w:pPr>
            <w:r>
              <w:t xml:space="preserve">Months 1-4</w:t>
            </w:r>
          </w:p>
        </w:tc>
        <w:tc>
          <w:tcPr/>
          <w:p>
            <w:pPr>
              <w:pStyle w:val="Compact"/>
              <w:jc w:val="left"/>
            </w:pPr>
            <w:r>
              <w:t xml:space="preserve">Critical analysis of existing scholarship; Protocol mapping; Interview guide finalization.</w:t>
            </w:r>
          </w:p>
        </w:tc>
        <w:tc>
          <w:tcPr/>
          <w:p>
            <w:pPr>
              <w:pStyle w:val="Compact"/>
            </w:pPr>
          </w:p>
        </w:tc>
      </w:tr>
      <w:tr>
        <w:tc>
          <w:tcPr/>
          <w:p>
            <w:pPr>
              <w:pStyle w:val="Compact"/>
              <w:jc w:val="left"/>
            </w:pPr>
            <w:r>
              <w:t xml:space="preserve">Data Collection</w:t>
            </w:r>
          </w:p>
        </w:tc>
        <w:tc>
          <w:tcPr/>
          <w:p>
            <w:pPr>
              <w:pStyle w:val="Compact"/>
              <w:jc w:val="left"/>
            </w:pPr>
            <w:r>
              <w:t xml:space="preserve">Months 5-10</w:t>
            </w:r>
          </w:p>
        </w:tc>
        <w:tc>
          <w:tcPr/>
          <w:p>
            <w:pPr>
              <w:pStyle w:val="Compact"/>
              <w:jc w:val="left"/>
            </w:pPr>
            <w:r>
              <w:t xml:space="preserve">Diplomats' perspectives on Tehran's diplomatic challenges (e.g., sanction navigation, cultural barriers)</w:t>
            </w:r>
          </w:p>
        </w:tc>
        <w:tc>
          <w:tcPr/>
          <w:p>
            <w:pPr>
              <w:pStyle w:val="Compact"/>
              <w:jc w:val="left"/>
            </w:pPr>
            <w:r>
              <w:t xml:space="preserve">Iran Tehran as the operational epicenter for international engagement with Iran's government.</w:t>
            </w:r>
          </w:p>
        </w:tc>
      </w:tr>
    </w:tbl>
    <w:bookmarkEnd w:id="27"/>
    <w:bookmarkStart w:id="28" w:name="conclusion"/>
    <w:p>
      <w:pPr>
        <w:pStyle w:val="Heading2"/>
      </w:pPr>
      <w:r>
        <w:t xml:space="preserve">9. Conclusion</w:t>
      </w:r>
    </w:p>
    <w:p>
      <w:pPr>
        <w:pStyle w:val="FirstParagraph"/>
      </w:pPr>
      <w:r>
        <w:t xml:space="preserve">This Thesis Proposal establishes that Diplomat effectiveness in Iran Tehran is not merely a technical skill but a sophisticated practice requiring deep contextual intelligence. As Tehran continues to navigate its complex relationship with global powers amid regional instability, the ability of Diplomats to operate effectively within this environment becomes paramount. By rigorously analyzing the realities of diplomatic engagement in Iran's capital, this research will provide essential insights for policymakers and practitioners seeking sustainable international relations with a nation at the heart of 21st-century geopolitical transformation. The findings promise to reshape how diplomatic corps prepare for and execute missions in one of the world's most challenging yet strategically vital capitals—making this research not just academically valuable, but critically urgent for global stability.</w:t>
      </w:r>
    </w:p>
    <w:bookmarkEnd w:id="28"/>
    <w:bookmarkStart w:id="29" w:name="references-selected"/>
    <w:p>
      <w:pPr>
        <w:pStyle w:val="Heading2"/>
      </w:pPr>
      <w:r>
        <w:t xml:space="preserve">References (Selected)</w:t>
      </w:r>
    </w:p>
    <w:p>
      <w:pPr>
        <w:numPr>
          <w:ilvl w:val="0"/>
          <w:numId w:val="1004"/>
        </w:numPr>
        <w:pStyle w:val="Compact"/>
      </w:pPr>
      <w:r>
        <w:t xml:space="preserve">Asgharzadeh, M. (2021). *Diplomacy in the Islamic Republic of Iran*. Cambridge University Press.</w:t>
      </w:r>
    </w:p>
    <w:p>
      <w:pPr>
        <w:numPr>
          <w:ilvl w:val="0"/>
          <w:numId w:val="1004"/>
        </w:numPr>
        <w:pStyle w:val="Compact"/>
      </w:pPr>
      <w:r>
        <w:t xml:space="preserve">Bakhtiyari, A. (2020). "The Iranian Diplomatic Corps: Between Tradition and Modernity." *Middle East Policy*, 27(3), 45-60.</w:t>
      </w:r>
    </w:p>
    <w:p>
      <w:pPr>
        <w:numPr>
          <w:ilvl w:val="0"/>
          <w:numId w:val="1004"/>
        </w:numPr>
        <w:pStyle w:val="Compact"/>
      </w:pPr>
      <w:r>
        <w:t xml:space="preserve">Iranian Ministry of Foreign Affairs. (2023). *Annual Report on Foreign Relations*. Tehran: Government Printing House.</w:t>
      </w:r>
    </w:p>
    <w:p>
      <w:pPr>
        <w:numPr>
          <w:ilvl w:val="0"/>
          <w:numId w:val="1004"/>
        </w:numPr>
        <w:pStyle w:val="Compact"/>
      </w:pPr>
      <w:r>
        <w:t xml:space="preserve">Salehi, H. (2019). "The New Diplomacy of the Islamic Republic." *International Journal of Middle East Studies*, 51(4), 678-695.</w:t>
      </w:r>
    </w:p>
    <w:p>
      <w:pPr>
        <w:pStyle w:val="FirstParagraph"/>
      </w:pPr>
      <w:r>
        <w:rPr>
          <w:iCs/>
          <w:i/>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Role in International Relations at Iran Tehran</dc:title>
  <dc:creator/>
  <dc:language>en</dc:language>
  <cp:keywords/>
  <dcterms:created xsi:type="dcterms:W3CDTF">2026-05-02T01:36:52Z</dcterms:created>
  <dcterms:modified xsi:type="dcterms:W3CDTF">2026-05-02T01:36:52Z</dcterms:modified>
</cp:coreProperties>
</file>

<file path=docProps/custom.xml><?xml version="1.0" encoding="utf-8"?>
<Properties xmlns="http://schemas.openxmlformats.org/officeDocument/2006/custom-properties" xmlns:vt="http://schemas.openxmlformats.org/officeDocument/2006/docPropsVTypes"/>
</file>