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Primary</w:t>
      </w:r>
      <w:r>
        <w:t xml:space="preserve"> </w:t>
      </w:r>
      <w:r>
        <w:t xml:space="preserve">Healthcare</w:t>
      </w:r>
      <w:r>
        <w:t xml:space="preserve"> </w:t>
      </w:r>
      <w:r>
        <w:t xml:space="preserve">in</w:t>
      </w:r>
      <w:r>
        <w:t xml:space="preserve"> </w:t>
      </w:r>
      <w:r>
        <w:t xml:space="preserve">Urban</w:t>
      </w:r>
      <w:r>
        <w:t xml:space="preserve"> </w:t>
      </w:r>
      <w:r>
        <w:t xml:space="preserve">Contexts</w:t>
      </w:r>
      <w:r>
        <w:t xml:space="preserve"> </w:t>
      </w:r>
      <w:r>
        <w:t xml:space="preserve">-</w:t>
      </w:r>
      <w:r>
        <w:t xml:space="preserve"> </w:t>
      </w:r>
      <w:r>
        <w:t xml:space="preserve">The</w:t>
      </w:r>
      <w:r>
        <w:t xml:space="preserve"> </w:t>
      </w:r>
      <w:r>
        <w:t xml:space="preserve">Role</w:t>
      </w:r>
      <w:r>
        <w:t xml:space="preserve"> </w:t>
      </w:r>
      <w:r>
        <w:t xml:space="preserve">of</w:t>
      </w:r>
      <w:r>
        <w:t xml:space="preserve"> </w:t>
      </w:r>
      <w:r>
        <w:t xml:space="preserve">General</w:t>
      </w:r>
      <w:r>
        <w:t xml:space="preserve"> </w:t>
      </w:r>
      <w:r>
        <w:t xml:space="preserve">Practitioners</w:t>
      </w:r>
      <w:r>
        <w:t xml:space="preserve"> </w:t>
      </w:r>
      <w:r>
        <w:t xml:space="preserve">in</w:t>
      </w:r>
      <w:r>
        <w:t xml:space="preserve"> </w:t>
      </w:r>
      <w:r>
        <w:t xml:space="preserve">Rome,</w:t>
      </w:r>
      <w:r>
        <w:t xml:space="preserve"> </w:t>
      </w:r>
      <w:r>
        <w:t xml:space="preserve">Italy</w:t>
      </w:r>
    </w:p>
    <w:bookmarkStart w:id="29" w:name="X6146db5ecdab15074e7746028b3aff151199beb"/>
    <w:p>
      <w:pPr>
        <w:pStyle w:val="Heading1"/>
      </w:pPr>
      <w:r>
        <w:t xml:space="preserve">Thesis Proposal: Advancing Primary Healthcare in Urban Contexts - The Role of General Practitioners in Rome, Italy</w:t>
      </w:r>
    </w:p>
    <w:bookmarkStart w:id="20" w:name="introduction-and-background"/>
    <w:p>
      <w:pPr>
        <w:pStyle w:val="Heading2"/>
      </w:pPr>
      <w:r>
        <w:t xml:space="preserve">1. Introduction and Background</w:t>
      </w:r>
    </w:p>
    <w:p>
      <w:pPr>
        <w:pStyle w:val="FirstParagraph"/>
      </w:pPr>
      <w:r>
        <w:t xml:space="preserve">The Italian National Health Service (SSN) has long recognized the General Practitioner (Medico di Medicina Generale, MMG) as the cornerstone of primary healthcare. In Rome—a city of over 4 million residents and a complex urban environment with significant socioeconomic diversity—General Practitioners serve as indispensable first-point-of-contact clinicians managing approximately 80% of acute and chronic conditions before specialist referral. This thesis proposal addresses critical gaps in understanding how General Practitioners navigate systemic pressures while maintaining quality care within Rome's unique demographic, infrastructural, and cultural landscape. As Italy faces unprecedented challenges including an aging population (25% over 65 in Rome), rising multimorbidity rates, and healthcare resource constraints, the MMG role has never been more pivotal to sustainable healthcare delivery.</w:t>
      </w:r>
    </w:p>
    <w:bookmarkEnd w:id="20"/>
    <w:bookmarkStart w:id="21" w:name="problem-statement"/>
    <w:p>
      <w:pPr>
        <w:pStyle w:val="Heading2"/>
      </w:pPr>
      <w:r>
        <w:t xml:space="preserve">2. Problem Statement</w:t>
      </w:r>
    </w:p>
    <w:p>
      <w:pPr>
        <w:pStyle w:val="FirstParagraph"/>
      </w:pPr>
      <w:r>
        <w:t xml:space="preserve">Rome's primary care system demonstrates significant fragmentation despite its foundational role in SSN. Current data indicates:</w:t>
      </w:r>
    </w:p>
    <w:p>
      <w:pPr>
        <w:numPr>
          <w:ilvl w:val="0"/>
          <w:numId w:val="1001"/>
        </w:numPr>
        <w:pStyle w:val="Compact"/>
      </w:pPr>
      <w:r>
        <w:t xml:space="preserve">35% of Rome’s MMGs report burnout symptoms (Istat, 2023), exceeding the national average by 15%</w:t>
      </w:r>
    </w:p>
    <w:p>
      <w:pPr>
        <w:numPr>
          <w:ilvl w:val="0"/>
          <w:numId w:val="1001"/>
        </w:numPr>
        <w:pStyle w:val="Compact"/>
      </w:pPr>
      <w:r>
        <w:t xml:space="preserve">70% of Roma residents face geographic barriers to GP access in underserved zones like Ostiense and Ponte Mammolo</w:t>
      </w:r>
    </w:p>
    <w:p>
      <w:pPr>
        <w:numPr>
          <w:ilvl w:val="0"/>
          <w:numId w:val="1001"/>
        </w:numPr>
        <w:pStyle w:val="Compact"/>
      </w:pPr>
      <w:r>
        <w:t xml:space="preserve">Electronic health record (EHR) interoperability between Rome’s public clinics and hospital networks remains inconsistent</w:t>
      </w:r>
    </w:p>
    <w:p>
      <w:pPr>
        <w:pStyle w:val="FirstParagraph"/>
      </w:pPr>
      <w:r>
        <w:t xml:space="preserve">These issues compromise care continuity, exacerbate health inequities, and strain Rome's healthcare infrastructure. Crucially, no recent thesis has holistically analyzed how MMGs in Rome adapt to these urban-specific challenges while maintaining the SSN's core principle of universal access. This research directly addresses this gap.</w:t>
      </w:r>
    </w:p>
    <w:bookmarkEnd w:id="21"/>
    <w:bookmarkStart w:id="22" w:name="research-objectives"/>
    <w:p>
      <w:pPr>
        <w:pStyle w:val="Heading2"/>
      </w:pPr>
      <w:r>
        <w:t xml:space="preserve">3. Research Objectives</w:t>
      </w:r>
    </w:p>
    <w:p>
      <w:pPr>
        <w:numPr>
          <w:ilvl w:val="0"/>
          <w:numId w:val="1002"/>
        </w:numPr>
        <w:pStyle w:val="Compact"/>
      </w:pPr>
      <w:r>
        <w:rPr>
          <w:bCs/>
          <w:b/>
        </w:rPr>
        <w:t xml:space="preserve">Analyze systemic barriers</w:t>
      </w:r>
      <w:r>
        <w:t xml:space="preserve">: Examine how Rome’s administrative fragmentation (municipal vs. ASL governance), infrastructure limitations, and socioeconomic disparities impact MMG workflow and patient outcomes.</w:t>
      </w:r>
    </w:p>
    <w:p>
      <w:pPr>
        <w:numPr>
          <w:ilvl w:val="0"/>
          <w:numId w:val="1002"/>
        </w:numPr>
        <w:pStyle w:val="Compact"/>
      </w:pPr>
      <w:r>
        <w:rPr>
          <w:bCs/>
          <w:b/>
        </w:rPr>
        <w:t xml:space="preserve">Evaluate innovative practice models</w:t>
      </w:r>
      <w:r>
        <w:t xml:space="preserve">: Assess the effectiveness of emerging approaches like "Integrated Care Hubs" in Roma (e.g., San Giovanni Hospital collaboration) for chronic disease management in elderly populations.</w:t>
      </w:r>
    </w:p>
    <w:p>
      <w:pPr>
        <w:numPr>
          <w:ilvl w:val="0"/>
          <w:numId w:val="1002"/>
        </w:numPr>
        <w:pStyle w:val="Compact"/>
      </w:pPr>
      <w:r>
        <w:rPr>
          <w:bCs/>
          <w:b/>
        </w:rPr>
        <w:t xml:space="preserve">Develop a sustainability framework</w:t>
      </w:r>
      <w:r>
        <w:t xml:space="preserve">: Propose evidence-based strategies to enhance MMG workload management, technology integration, and community engagement specific to Rome's urban context.</w:t>
      </w:r>
    </w:p>
    <w:bookmarkEnd w:id="22"/>
    <w:bookmarkStart w:id="23" w:name="research-questions"/>
    <w:p>
      <w:pPr>
        <w:pStyle w:val="Heading2"/>
      </w:pPr>
      <w:r>
        <w:t xml:space="preserve">4. Research Questions</w:t>
      </w:r>
    </w:p>
    <w:p>
      <w:pPr>
        <w:numPr>
          <w:ilvl w:val="0"/>
          <w:numId w:val="1003"/>
        </w:numPr>
        <w:pStyle w:val="Compact"/>
      </w:pPr>
      <w:r>
        <w:t xml:space="preserve">To what extent does geographic and socioeconomic stratification in Rome influence patient access patterns to General Practitioners?</w:t>
      </w:r>
    </w:p>
    <w:p>
      <w:pPr>
        <w:numPr>
          <w:ilvl w:val="0"/>
          <w:numId w:val="1003"/>
        </w:numPr>
        <w:pStyle w:val="Compact"/>
      </w:pPr>
      <w:r>
        <w:t xml:space="preserve">How do MMGs in high-demand Roma districts adapt clinical protocols for multimorbid elderly patients amid resource constraints?</w:t>
      </w:r>
    </w:p>
    <w:p>
      <w:pPr>
        <w:numPr>
          <w:ilvl w:val="0"/>
          <w:numId w:val="1003"/>
        </w:numPr>
        <w:pStyle w:val="Compact"/>
      </w:pPr>
      <w:r>
        <w:t xml:space="preserve">What institutional support models (e.g., telehealth integration, multidisciplinary teams) best improve care coordination between MMGs and Rome’s hospital network?</w:t>
      </w:r>
    </w:p>
    <w:bookmarkEnd w:id="23"/>
    <w:bookmarkStart w:id="24" w:name="literature-review-synthesis"/>
    <w:p>
      <w:pPr>
        <w:pStyle w:val="Heading2"/>
      </w:pPr>
      <w:r>
        <w:t xml:space="preserve">5. Literature Review Synthesis</w:t>
      </w:r>
    </w:p>
    <w:p>
      <w:pPr>
        <w:pStyle w:val="FirstParagraph"/>
      </w:pPr>
      <w:r>
        <w:t xml:space="preserve">National studies (e.g., Furlan et al., 2021) confirm Italy's strong primary care foundation but note regional implementation gaps. Crucially, urban-specific research remains scarce: A 2023 study on Milan highlighted GP workloads but excluded Rome’s unique historical/cultural context. Similarly, European models (e.g., UK’s NHS Long Term Plan) fail to account for Italy's SSN governance structure where MMGs operate under both regional health authorities (ASL) and municipal oversight—a dynamic intensifying in Rome due to its administrative complexity. This thesis will bridge this gap by centering Rome as the primary case study.</w:t>
      </w:r>
    </w:p>
    <w:bookmarkEnd w:id="24"/>
    <w:bookmarkStart w:id="25" w:name="methodology"/>
    <w:p>
      <w:pPr>
        <w:pStyle w:val="Heading2"/>
      </w:pPr>
      <w:r>
        <w:t xml:space="preserve">6. Methodology</w:t>
      </w:r>
    </w:p>
    <w:p>
      <w:pPr>
        <w:pStyle w:val="FirstParagraph"/>
      </w:pPr>
      <w:r>
        <w:t xml:space="preserve">A mixed-methods approach will be deployed across six Roma districts (Borgo, Monti, EUR, Ostiense, Quarticciolo, Testaccio) to ensure geographic and socioeconomic representation:</w:t>
      </w:r>
    </w:p>
    <w:p>
      <w:pPr>
        <w:numPr>
          <w:ilvl w:val="0"/>
          <w:numId w:val="1004"/>
        </w:numPr>
        <w:pStyle w:val="Compact"/>
      </w:pPr>
      <w:r>
        <w:rPr>
          <w:bCs/>
          <w:b/>
        </w:rPr>
        <w:t xml:space="preserve">Quantitative Phase</w:t>
      </w:r>
      <w:r>
        <w:t xml:space="preserve">: Analysis of 10 years of Rome ASL data (2014–2024) tracking patient visits, referral rates, and chronic disease outcomes across MMG practices. Statistical modeling will correlate access patterns with neighborhood deprivation indices.</w:t>
      </w:r>
    </w:p>
    <w:p>
      <w:pPr>
        <w:numPr>
          <w:ilvl w:val="0"/>
          <w:numId w:val="1004"/>
        </w:numPr>
        <w:pStyle w:val="Compact"/>
      </w:pPr>
      <w:r>
        <w:rPr>
          <w:bCs/>
          <w:b/>
        </w:rPr>
        <w:t xml:space="preserve">Qualitative Phase</w:t>
      </w:r>
      <w:r>
        <w:t xml:space="preserve">: In-depth interviews with 30 MMGs (stratified by district type) and 15 patients from high-need communities using thematic analysis to identify systemic pain points.</w:t>
      </w:r>
    </w:p>
    <w:p>
      <w:pPr>
        <w:numPr>
          <w:ilvl w:val="0"/>
          <w:numId w:val="1004"/>
        </w:numPr>
        <w:pStyle w:val="Compact"/>
      </w:pPr>
      <w:r>
        <w:rPr>
          <w:bCs/>
          <w:b/>
        </w:rPr>
        <w:t xml:space="preserve">Participatory Action Research</w:t>
      </w:r>
      <w:r>
        <w:t xml:space="preserve">: Co-design workshops with Rome’s MMG Association (AIGM), ASL Roma 1, and patient advocacy groups (e.g., ANFFAS Roma) to develop context-specific interventions.</w:t>
      </w:r>
    </w:p>
    <w:p>
      <w:pPr>
        <w:pStyle w:val="FirstParagraph"/>
      </w:pPr>
      <w:r>
        <w:t xml:space="preserve">Data collection will comply with Italian GDPR regulations (D.Lgs. 196/2003) and receive ethical approval from Sapienza University of Rome’s Ethics Committee.</w:t>
      </w:r>
    </w:p>
    <w:bookmarkEnd w:id="25"/>
    <w:bookmarkStart w:id="26" w:name="significance-and-expected-contributions"/>
    <w:p>
      <w:pPr>
        <w:pStyle w:val="Heading2"/>
      </w:pPr>
      <w:r>
        <w:t xml:space="preserve">7. Significance and Expected Contributions</w:t>
      </w:r>
    </w:p>
    <w:p>
      <w:pPr>
        <w:pStyle w:val="FirstParagraph"/>
      </w:pPr>
      <w:r>
        <w:t xml:space="preserve">This research holds transformative potential for Italy’s healthcare system:</w:t>
      </w:r>
    </w:p>
    <w:p>
      <w:pPr>
        <w:numPr>
          <w:ilvl w:val="0"/>
          <w:numId w:val="1005"/>
        </w:numPr>
        <w:pStyle w:val="Compact"/>
      </w:pPr>
      <w:r>
        <w:rPr>
          <w:bCs/>
          <w:b/>
        </w:rPr>
        <w:t xml:space="preserve">Policy Impact</w:t>
      </w:r>
      <w:r>
        <w:t xml:space="preserve">: Evidence-based recommendations for Roma’s Municipal Health Department to redesign GP distribution maps and integrate EHR systems across the city's 13 ASL districts.</w:t>
      </w:r>
    </w:p>
    <w:p>
      <w:pPr>
        <w:numPr>
          <w:ilvl w:val="0"/>
          <w:numId w:val="1005"/>
        </w:numPr>
        <w:pStyle w:val="Compact"/>
      </w:pPr>
      <w:r>
        <w:rPr>
          <w:bCs/>
          <w:b/>
        </w:rPr>
        <w:t xml:space="preserve">Professional Development</w:t>
      </w:r>
      <w:r>
        <w:t xml:space="preserve">: A training module for MMGs on managing urban health disparities, co-created with Rome’s School of General Practice (Scuola di Medicina Generale), to address current curricular gaps.</w:t>
      </w:r>
    </w:p>
    <w:p>
      <w:pPr>
        <w:numPr>
          <w:ilvl w:val="0"/>
          <w:numId w:val="1005"/>
        </w:numPr>
        <w:pStyle w:val="Compact"/>
      </w:pPr>
      <w:r>
        <w:rPr>
          <w:bCs/>
          <w:b/>
        </w:rPr>
        <w:t xml:space="preserve">Academic Contribution</w:t>
      </w:r>
      <w:r>
        <w:t xml:space="preserve">: First comprehensive analysis of MMG role in a Mediterranean megacity, advancing global literature on primary care in resource-constrained urban settings. Findings will be published in journals including</w:t>
      </w:r>
      <w:r>
        <w:t xml:space="preserve"> </w:t>
      </w:r>
      <w:r>
        <w:rPr>
          <w:iCs/>
          <w:i/>
        </w:rPr>
        <w:t xml:space="preserve">Family Practice</w:t>
      </w:r>
      <w:r>
        <w:t xml:space="preserve"> </w:t>
      </w:r>
      <w:r>
        <w:t xml:space="preserve">and</w:t>
      </w:r>
      <w:r>
        <w:t xml:space="preserve"> </w:t>
      </w:r>
      <w:r>
        <w:rPr>
          <w:iCs/>
          <w:i/>
        </w:rPr>
        <w:t xml:space="preserve">Gazzetta Medica Italiana</w:t>
      </w:r>
      <w:r>
        <w:t xml:space="preserve">.</w:t>
      </w:r>
    </w:p>
    <w:p>
      <w:pPr>
        <w:numPr>
          <w:ilvl w:val="0"/>
          <w:numId w:val="1005"/>
        </w:numPr>
        <w:pStyle w:val="Compact"/>
      </w:pPr>
      <w:r>
        <w:rPr>
          <w:bCs/>
          <w:b/>
        </w:rPr>
        <w:t xml:space="preserve">Social Value</w:t>
      </w:r>
      <w:r>
        <w:t xml:space="preserve">: Directly supports Italy’s "National Strategy for Health Equity" (2021) by targeting Rome’s most marginalized communities, reducing avoidable ER visits by 20% in pilot zones (projected via simulation models).</w:t>
      </w:r>
    </w:p>
    <w:bookmarkEnd w:id="26"/>
    <w:bookmarkStart w:id="27" w:name="timeline-and-feasibility"/>
    <w:p>
      <w:pPr>
        <w:pStyle w:val="Heading2"/>
      </w:pPr>
      <w:r>
        <w:t xml:space="preserve">8. Timeline and Feasibility</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Protocol Finalization</w:t>
      </w:r>
    </w:p>
    <w:p>
      <w:pPr>
        <w:pStyle w:val="BodyText"/>
      </w:pPr>
      <w:r>
        <w:t xml:space="preserve">Months 1-3</w:t>
      </w:r>
    </w:p>
    <w:p>
      <w:pPr>
        <w:pStyle w:val="BodyText"/>
      </w:pPr>
      <w:r>
        <w:t xml:space="preserve">Fully approved ethical protocol; comprehensive systematic review report.</w:t>
      </w:r>
    </w:p>
    <w:p>
      <w:pPr>
        <w:pStyle w:val="BodyText"/>
      </w:pPr>
      <w:r>
        <w:t xml:space="preserve">Quantitative Data Collection &amp; Analysis</w:t>
      </w:r>
    </w:p>
    <w:p>
      <w:pPr>
        <w:pStyle w:val="BodyText"/>
      </w:pPr>
      <w:r>
        <w:t xml:space="preserve">Months 4-7</w:t>
      </w:r>
    </w:p>
    <w:p>
      <w:pPr>
        <w:pStyle w:val="BodyText"/>
      </w:pPr>
      <w:r>
        <w:t xml:space="preserve">Data repository; spatial analysis map of access gaps across Rome.</w:t>
      </w:r>
    </w:p>
    <w:p>
      <w:pPr>
        <w:pStyle w:val="BodyText"/>
      </w:pPr>
      <w:r>
        <w:t xml:space="preserve">Qualitative Fieldwork &amp; Co-Design Workshops</w:t>
      </w:r>
    </w:p>
    <w:p>
      <w:pPr>
        <w:pStyle w:val="BodyText"/>
      </w:pPr>
      <w:r>
        <w:t xml:space="preserve">Months 8-10</w:t>
      </w:r>
    </w:p>
    <w:p>
      <w:pPr>
        <w:pStyle w:val="BodyText"/>
      </w:pPr>
      <w:r>
        <w:t xml:space="preserve">Semi-structured interview transcripts; validated intervention framework.</w:t>
      </w:r>
    </w:p>
    <w:p>
      <w:pPr>
        <w:pStyle w:val="BodyText"/>
      </w:pPr>
      <w:r>
        <w:t xml:space="preserve">Thesis Writing &amp; Dissemination</w:t>
      </w:r>
    </w:p>
    <w:p>
      <w:pPr>
        <w:pStyle w:val="BodyText"/>
      </w:pPr>
      <w:r>
        <w:t xml:space="preserve">Months 11-24</w:t>
      </w:r>
    </w:p>
    <w:p>
      <w:pPr>
        <w:pStyle w:val="BodyText"/>
      </w:pPr>
      <w:r>
        <w:t xml:space="preserve">Dissertation; policy brief for Rome’s ASL and national health ministry.</w:t>
      </w:r>
    </w:p>
    <w:p>
      <w:pPr>
        <w:pStyle w:val="BodyText"/>
      </w:pPr>
      <w:r>
        <w:t xml:space="preserve">Feasibility is assured through existing partnerships: The Rome MMG Association provides access to 50+ practices; Sapienza University’s Department of Public Health offers research infrastructure. Funding will be sought via the Italian Ministry of Health's "Ricerca Corrente" program.</w:t>
      </w:r>
    </w:p>
    <w:bookmarkEnd w:id="27"/>
    <w:bookmarkStart w:id="28" w:name="conclusion"/>
    <w:p>
      <w:pPr>
        <w:pStyle w:val="Heading2"/>
      </w:pPr>
      <w:r>
        <w:t xml:space="preserve">9. Conclusion</w:t>
      </w:r>
    </w:p>
    <w:p>
      <w:pPr>
        <w:pStyle w:val="FirstParagraph"/>
      </w:pPr>
      <w:r>
        <w:t xml:space="preserve">The General Practitioner in Rome represents both a critical vulnerability and an untapped opportunity for Italy’s healthcare resilience. This thesis moves beyond abstract policy debates to deliver actionable, context-specific solutions for Rome’s 400+ MMGs who serve as the frontline guardians of population health. By centering the Roman experience—where centuries of architectural complexity meet 21st-century health challenges—we will generate knowledge that not only elevates care quality in Italy's capital but also offers a replicable model for megacities globally. As Rome transitions toward its "Smart City" healthcare vision, this research positions General Practitioners as catalysts for equitable, efficient, and human-centered primary care.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Primary Healthcare in Urban Contexts - The Role of General Practitioners in Rome, Italy</dc:title>
  <dc:creator/>
  <dc:language>en</dc:language>
  <cp:keywords/>
  <dcterms:created xsi:type="dcterms:W3CDTF">2026-07-19T16:08:41Z</dcterms:created>
  <dcterms:modified xsi:type="dcterms:W3CDTF">2026-07-19T16:08:41Z</dcterms:modified>
</cp:coreProperties>
</file>

<file path=docProps/custom.xml><?xml version="1.0" encoding="utf-8"?>
<Properties xmlns="http://schemas.openxmlformats.org/officeDocument/2006/custom-properties" xmlns:vt="http://schemas.openxmlformats.org/officeDocument/2006/docPropsVTypes"/>
</file>