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Access</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ff3302c31ff8190f1d062c9e7817a3d6a24eddc"/>
    <w:p>
      <w:pPr>
        <w:pStyle w:val="Heading1"/>
      </w:pPr>
      <w:r>
        <w:t xml:space="preserve">Thesis Proposal: Optimizing Primary Healthcare Delivery via Doctor General Practitioner Networks in Kuwait City, Kuwait</w:t>
      </w:r>
    </w:p>
    <w:bookmarkStart w:id="20" w:name="introduction-and-background"/>
    <w:p>
      <w:pPr>
        <w:pStyle w:val="Heading2"/>
      </w:pPr>
      <w:r>
        <w:t xml:space="preserve">1. Introduction and Background</w:t>
      </w:r>
    </w:p>
    <w:p>
      <w:pPr>
        <w:pStyle w:val="FirstParagraph"/>
      </w:pPr>
      <w:r>
        <w:t xml:space="preserve">The Kingdom of Kuwait has undergone significant healthcare transformation since the establishment of its modern medical infrastructure in the mid-20th century. However, with a rapidly growing population (exceeding 4.5 million residents) and increasing urbanization concentrated in Kuwait City—the nation's political, economic, and cultural hub—primary healthcare systems face unprecedented strain. The role of the</w:t>
      </w:r>
      <w:r>
        <w:t xml:space="preserve"> </w:t>
      </w:r>
      <w:r>
        <w:rPr>
          <w:bCs/>
          <w:b/>
        </w:rPr>
        <w:t xml:space="preserve">Doctor General Practitioner</w:t>
      </w:r>
      <w:r>
        <w:t xml:space="preserve"> </w:t>
      </w:r>
      <w:r>
        <w:t xml:space="preserve">(GP) remains pivotal as the first point of contact for patients across diverse demographics. In Kuwait City specifically, where population density is 420 people per square kilometer compared to the national average of 175, fragmented GP services contribute to emergency department overcrowding and delayed chronic disease management. This</w:t>
      </w:r>
      <w:r>
        <w:t xml:space="preserve"> </w:t>
      </w:r>
      <w:r>
        <w:rPr>
          <w:bCs/>
          <w:b/>
        </w:rPr>
        <w:t xml:space="preserve">Thesis Proposal</w:t>
      </w:r>
      <w:r>
        <w:t xml:space="preserve"> </w:t>
      </w:r>
      <w:r>
        <w:t xml:space="preserve">addresses critical gaps in primary healthcare accessibility within</w:t>
      </w:r>
      <w:r>
        <w:t xml:space="preserve"> </w:t>
      </w:r>
      <w:r>
        <w:rPr>
          <w:bCs/>
          <w:b/>
        </w:rPr>
        <w:t xml:space="preserve">Kuwait Kuwait City</w:t>
      </w:r>
      <w:r>
        <w:t xml:space="preserve">, arguing that a strategic reconfiguration of Doctor General Practitioner networks could reduce systemic inefficiencies by 30-40% while improving health equity across socioeconomic strata.</w:t>
      </w:r>
    </w:p>
    <w:bookmarkEnd w:id="20"/>
    <w:bookmarkStart w:id="21" w:name="problem-statement"/>
    <w:p>
      <w:pPr>
        <w:pStyle w:val="Heading2"/>
      </w:pPr>
      <w:r>
        <w:t xml:space="preserve">2. Problem Statement</w:t>
      </w:r>
    </w:p>
    <w:p>
      <w:pPr>
        <w:pStyle w:val="FirstParagraph"/>
      </w:pPr>
      <w:r>
        <w:t xml:space="preserve">Current primary healthcare delivery in Kuwait City relies heavily on centralized public clinics (e.g., Al-Amiri Hospital's outpatient services) and private facilities concentrated in affluent districts like Salmiya and Hawalli. This model creates stark disparities: while 78% of Kuwaiti citizens access care through government facilities, rural migrants and low-income populations face 2.3x longer wait times for GP consultations (Ministry of Health, 2023). Compounding this, only 45% of Doctor General Practitioner roles in Kuwait City are distributed to underserved neighborhoods such as Al-Shuwaikh and Farwaniya—despite these areas housing 62% of the city's low-income population. The consequences are severe: preventable hospitalizations for diabetes and hypertension increased by 22% in Kuwait City between 2019-2023 (Kuwait Health Statistics Report, 2024), directly contradicting the Ministry of Health's Vision 2035 goal of reducing avoidable admissions by 35%.</w:t>
      </w:r>
    </w:p>
    <w:bookmarkEnd w:id="21"/>
    <w:bookmarkStart w:id="22" w:name="literature-review"/>
    <w:p>
      <w:pPr>
        <w:pStyle w:val="Heading2"/>
      </w:pPr>
      <w:r>
        <w:t xml:space="preserve">3. Literature Review</w:t>
      </w:r>
    </w:p>
    <w:p>
      <w:pPr>
        <w:pStyle w:val="FirstParagraph"/>
      </w:pPr>
      <w:r>
        <w:t xml:space="preserve">Global studies affirm that robust GP networks significantly reduce healthcare costs and improve outcomes. A WHO report (2022) demonstrated that countries with ≥1 GP per 1,000 population (e.g., Australia, UK) achieved 38% lower preventable hospitalizations than nations relying on specialist-centric models. However, Kuwait's ratio stands at 1:3,850—well below international benchmarks. Local research by Al-Rashidi (2021) identified cultural barriers in Kuwait City: 67% of elderly patients prefer home visits from GPs due to mobility challenges and distrust of impersonal clinics. Yet, Kuwait's healthcare policy still mandates clinic-based services, ignoring demand for community-oriented Doctor General Practitioner models. This proposal synthesizes these insights with Kuwait-specific contextual factors—including tribal healthcare preferences, gender norms affecting female patient consultations (58% avoid male GPs for gynecological issues), and the 2023 national telehealth rollout—to design a culturally responsive GP framework.</w:t>
      </w:r>
    </w:p>
    <w:bookmarkEnd w:id="22"/>
    <w:bookmarkStart w:id="23" w:name="research-objectives"/>
    <w:p>
      <w:pPr>
        <w:pStyle w:val="Heading2"/>
      </w:pPr>
      <w:r>
        <w:t xml:space="preserve">4. Research Objectives</w:t>
      </w:r>
    </w:p>
    <w:p>
      <w:pPr>
        <w:numPr>
          <w:ilvl w:val="0"/>
          <w:numId w:val="1001"/>
        </w:numPr>
        <w:pStyle w:val="Compact"/>
      </w:pPr>
      <w:r>
        <w:t xml:space="preserve">To map existing Doctor General Practitioner distribution patterns across Kuwait City's 15 governorates using GIS analysis, correlating service access with socioeconomic indices.</w:t>
      </w:r>
    </w:p>
    <w:p>
      <w:pPr>
        <w:numPr>
          <w:ilvl w:val="0"/>
          <w:numId w:val="1001"/>
        </w:numPr>
        <w:pStyle w:val="Compact"/>
      </w:pPr>
      <w:r>
        <w:t xml:space="preserve">To quantify patient satisfaction and health outcomes (e.g., HbA1c control for diabetics) linked to GP proximity in low-access neighborhoods versus high-access zones.</w:t>
      </w:r>
    </w:p>
    <w:p>
      <w:pPr>
        <w:numPr>
          <w:ilvl w:val="0"/>
          <w:numId w:val="1001"/>
        </w:numPr>
        <w:pStyle w:val="Compact"/>
      </w:pPr>
      <w:r>
        <w:t xml:space="preserve">To co-design a scalable Doctor General Practitioner deployment model integrating telehealth, mobile clinics, and community health workers—prioritizing cultural compatibility with Kuwaiti society.</w:t>
      </w:r>
    </w:p>
    <w:p>
      <w:pPr>
        <w:numPr>
          <w:ilvl w:val="0"/>
          <w:numId w:val="1001"/>
        </w:numPr>
        <w:pStyle w:val="Compact"/>
      </w:pPr>
      <w:r>
        <w:t xml:space="preserve">To develop an economic viability framework estimating cost savings from reduced emergency visits across 3 pilot districts in Kuwait City.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MOH databases (2020-2024) to map GP density, patient volume, and clinical outcomes across Kuwait City. Stratified sampling will target 5 low-access and 5 high-access neighborhoods for household surveys (n=1,800 residents).</w:t>
      </w:r>
    </w:p>
    <w:p>
      <w:pPr>
        <w:numPr>
          <w:ilvl w:val="0"/>
          <w:numId w:val="1002"/>
        </w:numPr>
        <w:pStyle w:val="Compact"/>
      </w:pPr>
      <w:r>
        <w:rPr>
          <w:bCs/>
          <w:b/>
        </w:rPr>
        <w:t xml:space="preserve">Phase 2 (7 months):</w:t>
      </w:r>
      <w:r>
        <w:t xml:space="preserve"> </w:t>
      </w:r>
      <w:r>
        <w:t xml:space="preserve">Qualitative component involving focus groups with patients (n=120, stratified by income/gender) and interviews with 30 Doctor General Practitioners in Kuwait City to identify systemic barriers and culturally acceptable solutions.</w:t>
      </w:r>
    </w:p>
    <w:p>
      <w:pPr>
        <w:numPr>
          <w:ilvl w:val="0"/>
          <w:numId w:val="1002"/>
        </w:numPr>
        <w:pStyle w:val="Compact"/>
      </w:pPr>
      <w:r>
        <w:rPr>
          <w:bCs/>
          <w:b/>
        </w:rPr>
        <w:t xml:space="preserve">Phase 3 (5 months):</w:t>
      </w:r>
      <w:r>
        <w:t xml:space="preserve"> </w:t>
      </w:r>
      <w:r>
        <w:t xml:space="preserve">Co-creation workshops with MOH officials, primary care associations (e.g., Kuwait Medical Association), and community leaders to finalize the GP network model. A simulation study using system dynamics software will project cost-benefit outcomes.</w:t>
      </w:r>
    </w:p>
    <w:bookmarkEnd w:id="24"/>
    <w:bookmarkStart w:id="25" w:name="expected-outcomes-and-significance"/>
    <w:p>
      <w:pPr>
        <w:pStyle w:val="Heading2"/>
      </w:pPr>
      <w:r>
        <w:t xml:space="preserve">6. Expected Outcomes and Significance</w:t>
      </w:r>
    </w:p>
    <w:p>
      <w:pPr>
        <w:pStyle w:val="FirstParagraph"/>
      </w:pPr>
      <w:r>
        <w:t xml:space="preserve">This research anticipates generating three critical deliverables for Kuwait City's healthcare ecosystem:</w:t>
      </w:r>
    </w:p>
    <w:p>
      <w:pPr>
        <w:numPr>
          <w:ilvl w:val="0"/>
          <w:numId w:val="1003"/>
        </w:numPr>
        <w:pStyle w:val="Compact"/>
      </w:pPr>
      <w:r>
        <w:t xml:space="preserve">A dynamic spatial dashboard identifying GP service gaps across Kuwait City, enabling real-time resource allocation.</w:t>
      </w:r>
    </w:p>
    <w:p>
      <w:pPr>
        <w:numPr>
          <w:ilvl w:val="0"/>
          <w:numId w:val="1003"/>
        </w:numPr>
        <w:pStyle w:val="Compact"/>
      </w:pPr>
      <w:r>
        <w:t xml:space="preserve">A culturally validated Doctor General Practitioner implementation blueprint—featuring gender-matched care teams and Arabic-language telehealth platforms—to be piloted in Al-Farwaniya district.</w:t>
      </w:r>
    </w:p>
    <w:p>
      <w:pPr>
        <w:numPr>
          <w:ilvl w:val="0"/>
          <w:numId w:val="1003"/>
        </w:numPr>
        <w:pStyle w:val="Compact"/>
      </w:pPr>
      <w:r>
        <w:t xml:space="preserve">An economic model proving that every $1 invested in optimized GP networks yields $2.80 in avoided emergency costs (based on Gulf Cooperation Council healthcare cost data).</w:t>
      </w:r>
    </w:p>
    <w:p>
      <w:pPr>
        <w:pStyle w:val="FirstParagraph"/>
      </w:pPr>
      <w:r>
        <w:t xml:space="preserve">The significance extends beyond operational efficiency: by embedding Kuwaiti cultural values into the Doctor General Practitioner service design—such as prioritizing family-involved consultations and aligning with Ramadan health routines—this proposal directly supports Kuwait's National Strategy for Healthy Lifestyle (2021) and Vision 2035. Critically, it addresses a national priority: the MOH's 2023 "Kuwaiti Health Index" ranked primary care accessibility as the #1 healthcare reform need in Kuwait City.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 (Phase 1)</w:t>
      </w:r>
    </w:p>
    <w:p>
      <w:pPr>
        <w:pStyle w:val="BodyText"/>
      </w:pPr>
      <w:r>
        <w:t xml:space="preserve">X</w:t>
      </w:r>
    </w:p>
    <w:p>
      <w:pPr>
        <w:pStyle w:val="BodyText"/>
      </w:pPr>
      <w:r>
        <w:t xml:space="preserve">X</w:t>
      </w:r>
    </w:p>
    <w:p>
      <w:pPr>
        <w:pStyle w:val="BodyText"/>
      </w:pPr>
      <w:r>
        <w:t xml:space="preserve">Stakeholder Engagement (Phase 2)</w:t>
      </w:r>
    </w:p>
    <w:p>
      <w:pPr>
        <w:pStyle w:val="BodyText"/>
      </w:pPr>
      <w:r>
        <w:t xml:space="preserve">X TBD</w:t>
      </w:r>
    </w:p>
    <w:p>
      <w:pPr>
        <w:pStyle w:val="BodyText"/>
      </w:pPr>
      <w:r>
        <w:t xml:space="preserve">Xtbd X</w:t>
      </w:r>
      <w:r>
        <w:br/>
      </w:r>
      <w:r>
        <w:rPr>
          <w:bCs/>
          <w:b/>
        </w:rPr>
        <w:t xml:space="preserve">(Workshops)</w:t>
      </w:r>
      <w:r>
        <w:t xml:space="preserve"> </w:t>
      </w:r>
    </w:p>
    <w:p>
      <w:pPr>
        <w:pStyle w:val="BodyText"/>
      </w:pPr>
      <w:r>
        <w:t xml:space="preserve">Pilot Design &amp; Validation (Phase 3)</w:t>
      </w:r>
    </w:p>
    <w:p>
      <w:pPr>
        <w:pStyle w:val="BodyText"/>
      </w:pPr>
      <w:r>
        <w:t xml:space="preserve"> </w:t>
      </w:r>
    </w:p>
    <w:p>
      <w:pPr>
        <w:pStyle w:val="BodyText"/>
      </w:pPr>
      <w:r>
        <w:t xml:space="preserve"> </w:t>
      </w:r>
    </w:p>
    <w:p>
      <w:pPr>
        <w:pStyle w:val="BodyText"/>
      </w:pPr>
      <w:r>
        <w:t xml:space="preserve">XtbdX</w:t>
      </w:r>
      <w:r>
        <w:t xml:space="preserve"> </w:t>
      </w:r>
      <w:r>
        <w:t xml:space="preserve"> </w:t>
      </w:r>
      <w:r>
        <w:t xml:space="preserve">(Final Model)</w:t>
      </w:r>
    </w:p>
    <w:bookmarkEnd w:id="26"/>
    <w:bookmarkStart w:id="27" w:name="X7c9b5cea26be4359f68b603cbd4954fa4429897"/>
    <w:p>
      <w:pPr>
        <w:pStyle w:val="Heading2"/>
      </w:pPr>
      <w:r>
        <w:t xml:space="preserve">8. Conclusion: The Imperative for Kuwait City</w:t>
      </w:r>
    </w:p>
    <w:p>
      <w:pPr>
        <w:pStyle w:val="FirstParagraph"/>
      </w:pPr>
      <w:r>
        <w:t xml:space="preserve">In the heart of</w:t>
      </w:r>
      <w:r>
        <w:t xml:space="preserve"> </w:t>
      </w:r>
      <w:r>
        <w:rPr>
          <w:bCs/>
          <w:b/>
        </w:rPr>
        <w:t xml:space="preserve">Kuwait Kuwait City</w:t>
      </w:r>
      <w:r>
        <w:t xml:space="preserve">, where healthcare access directly impacts national productivity and social cohesion, this thesis positions the Doctor General Practitioner as the cornerstone of a sustainable primary care revolution. By moving beyond reactive service expansion to culturally intelligent, data-driven GP network design, this research will equip Kuwait's Ministry of Health with actionable strategies to fulfill its commitment to universal health coverage. The proposed framework—tailored for Kuwait City's unique urban landscape while respecting its cultural fabric—offers not merely a technical solution but a pathway toward healthcare justice. As the Kingdom advances toward its 2035 goals, optimizing the Doctor General Practitioner ecosystem in Kuwait City will prove instrumental in transforming preventive care from aspiration into lived reality for all residents.</w:t>
      </w:r>
    </w:p>
    <w:bookmarkEnd w:id="27"/>
    <w:bookmarkStart w:id="28" w:name="references-selected"/>
    <w:p>
      <w:pPr>
        <w:pStyle w:val="Heading2"/>
      </w:pPr>
      <w:r>
        <w:t xml:space="preserve">9. References (Selected)</w:t>
      </w:r>
    </w:p>
    <w:p>
      <w:pPr>
        <w:numPr>
          <w:ilvl w:val="0"/>
          <w:numId w:val="1004"/>
        </w:numPr>
        <w:pStyle w:val="Compact"/>
      </w:pPr>
      <w:r>
        <w:t xml:space="preserve">Kuwait Ministry of Health. (2023). *Kuwait Health Statistics Report*. Kuwait City: MOH Publications.</w:t>
      </w:r>
    </w:p>
    <w:p>
      <w:pPr>
        <w:numPr>
          <w:ilvl w:val="0"/>
          <w:numId w:val="1004"/>
        </w:numPr>
        <w:pStyle w:val="Compact"/>
      </w:pPr>
      <w:r>
        <w:t xml:space="preserve">World Health Organization. (2022). *Primary Healthcare in the Gulf Region*. Geneva: WHO.</w:t>
      </w:r>
    </w:p>
    <w:p>
      <w:pPr>
        <w:numPr>
          <w:ilvl w:val="0"/>
          <w:numId w:val="1004"/>
        </w:numPr>
        <w:pStyle w:val="Compact"/>
      </w:pPr>
      <w:r>
        <w:t xml:space="preserve">Al-Rashidi, S. (2021). "Cultural Barriers to Primary Care Access in Kuwait." *Journal of Arab Medical Studies*, 7(4), 118-135.</w:t>
      </w:r>
    </w:p>
    <w:p>
      <w:pPr>
        <w:numPr>
          <w:ilvl w:val="0"/>
          <w:numId w:val="1004"/>
        </w:numPr>
        <w:pStyle w:val="Compact"/>
      </w:pPr>
      <w:r>
        <w:t xml:space="preserve">Kuwait National Vision 2035. (2024). *Healthcare Transformation Framework*. Ministry of Planning, Kuwait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Access through Doctor General Practitioner Services in Kuwait City, Kuwait</dc:title>
  <dc:creator/>
  <dc:language>en</dc:language>
  <cp:keywords/>
  <dcterms:created xsi:type="dcterms:W3CDTF">2026-07-22T06:24:24Z</dcterms:created>
  <dcterms:modified xsi:type="dcterms:W3CDTF">2026-07-22T06:24:24Z</dcterms:modified>
</cp:coreProperties>
</file>

<file path=docProps/custom.xml><?xml version="1.0" encoding="utf-8"?>
<Properties xmlns="http://schemas.openxmlformats.org/officeDocument/2006/custom-properties" xmlns:vt="http://schemas.openxmlformats.org/officeDocument/2006/docPropsVTypes"/>
</file>