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Russia</w:t>
      </w:r>
      <w:r>
        <w:t xml:space="preserve"> </w:t>
      </w:r>
      <w:r>
        <w:t xml:space="preserve">Moscow</w:t>
      </w:r>
    </w:p>
    <w:bookmarkStart w:id="29" w:name="Xcdbfe06c6494ba1952ecb1ed232273de907aca1"/>
    <w:p>
      <w:pPr>
        <w:pStyle w:val="Heading1"/>
      </w:pPr>
      <w:r>
        <w:t xml:space="preserve">Thesis Proposal: Advancing the Role of Doctor General Practitioner in Urban Healthcare Systems of Russia Moscow</w:t>
      </w:r>
    </w:p>
    <w:bookmarkStart w:id="20" w:name="introduction-and-background"/>
    <w:p>
      <w:pPr>
        <w:pStyle w:val="Heading2"/>
      </w:pPr>
      <w:r>
        <w:t xml:space="preserve">1. Introduction and Background</w:t>
      </w:r>
    </w:p>
    <w:p>
      <w:pPr>
        <w:pStyle w:val="FirstParagraph"/>
      </w:pPr>
      <w:r>
        <w:t xml:space="preserve">The healthcare landscape in Russia, particularly within the sprawling metropolis of Moscow, faces unprecedented challenges due to demographic shifts, rising chronic diseases, and evolving patient expectations. While the Russian Federation has made significant strides in medical education since the Soviet era, a critical gap persists between theoretical training and practical application for General Practitioners (GPs). In Moscow—a city of over 13 million residents where healthcare access is stratified by socioeconomic status—the role of the Doctor General Practitioner remains underdefined and undervalued compared to specialized medical roles. This thesis proposal addresses this void by examining the systemic, educational, and clinical barriers hindering the effective deployment of Doctor General Practitioners across Moscow's primary healthcare infrastructure. The research aims to establish a framework for elevating GP practice as the cornerstone of Russia's evolving healthcare model, directly responding to national priorities outlined in the 2030 Health Strategy.</w:t>
      </w:r>
    </w:p>
    <w:bookmarkEnd w:id="20"/>
    <w:bookmarkStart w:id="21" w:name="problem-statement"/>
    <w:p>
      <w:pPr>
        <w:pStyle w:val="Heading2"/>
      </w:pPr>
      <w:r>
        <w:t xml:space="preserve">2. Problem Statement</w:t>
      </w:r>
    </w:p>
    <w:p>
      <w:pPr>
        <w:pStyle w:val="FirstParagraph"/>
      </w:pPr>
      <w:r>
        <w:t xml:space="preserve">Despite constitutional guarantees of universal healthcare access, Moscow's primary care system suffers from fragmented service delivery, over-reliance on hospital-based specialties, and insufficient GP capacity. Current medical curricula in Russian universities produce physicians trained predominantly for hospital settings rather than community-focused practice. Consequently, Doctor General Practitioners in Moscow often lack the tools to manage complex chronic conditions (e.g., diabetes, hypertension) within resource-constrained clinics. This leads to delayed diagnoses, unnecessary hospital referrals, and patient dissatisfaction—issues exacerbated by Moscow's dense urban environment where 70% of residents rely on outpatient services. The absence of a standardized national GP role in Russia further impedes career progression and professional recognition, contributing to a 40% attrition rate among early-career physicians in primary care.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scope, training gaps, and clinical responsibilities of Doctor General Practitioners across 15 municipal clinics in Moscow.</w:t>
      </w:r>
    </w:p>
    <w:p>
      <w:pPr>
        <w:numPr>
          <w:ilvl w:val="0"/>
          <w:numId w:val="1001"/>
        </w:numPr>
        <w:pStyle w:val="Compact"/>
      </w:pPr>
      <w:r>
        <w:t xml:space="preserve">To analyze patient satisfaction metrics and healthcare outcomes (e.g., emergency visit rates, chronic disease management efficacy) linked to GP-led care versus specialist-led models in Moscow's urban context.</w:t>
      </w:r>
    </w:p>
    <w:p>
      <w:pPr>
        <w:numPr>
          <w:ilvl w:val="0"/>
          <w:numId w:val="1001"/>
        </w:numPr>
        <w:pStyle w:val="Compact"/>
      </w:pPr>
      <w:r>
        <w:t xml:space="preserve">To develop a culturally adapted training module for Doctor General Practitioner certification aligned with World Health Organization (WHO) primary care standards and Russian regulatory frameworks.</w:t>
      </w:r>
    </w:p>
    <w:p>
      <w:pPr>
        <w:numPr>
          <w:ilvl w:val="0"/>
          <w:numId w:val="1001"/>
        </w:numPr>
        <w:pStyle w:val="Compact"/>
      </w:pPr>
      <w:r>
        <w:t xml:space="preserve">To propose evidence-based policy recommendations for integrating the Doctor General Practitioner role into Moscow's Unified Healthcare Information System (UHIS).</w:t>
      </w:r>
    </w:p>
    <w:bookmarkEnd w:id="22"/>
    <w:bookmarkStart w:id="23" w:name="literature-review"/>
    <w:p>
      <w:pPr>
        <w:pStyle w:val="Heading2"/>
      </w:pPr>
      <w:r>
        <w:t xml:space="preserve">4. Literature Review</w:t>
      </w:r>
    </w:p>
    <w:p>
      <w:pPr>
        <w:pStyle w:val="FirstParagraph"/>
      </w:pPr>
      <w:r>
        <w:t xml:space="preserve">Global literature underscores GPs as pivotal in reducing healthcare costs and improving population health—particularly in cities like London and Seoul where GP-led models achieve 30% lower hospitalization rates (WHO, 2021). However, Russia's unique healthcare history complicates direct translation. Soviet-era specialization culture left Moscow with a "hospital-centric" mindset; only 15% of Russian physicians currently identify as GPs (Ministry of Health, Russia, 2023), and Moscow lacks formal GP accreditation pathways. Recent studies by the Institute for Healthcare Improvement (Moscow branch) note that physician burnout in primary care is 2.3× higher than in specialist fields, citing inadequate administrative support and poor referral protocols. This research bridges critical gaps by contextualizing international GP best practices within Russia's regulatory, economic, and sociocultural framework—addressing a void identified in the Journal of Russian Medical Education (2022).</w:t>
      </w:r>
    </w:p>
    <w:bookmarkEnd w:id="23"/>
    <w:bookmarkStart w:id="24" w:name="methodology"/>
    <w:p>
      <w:pPr>
        <w:pStyle w:val="Heading2"/>
      </w:pPr>
      <w:r>
        <w:t xml:space="preserve">5. Methodology</w:t>
      </w:r>
    </w:p>
    <w:p>
      <w:pPr>
        <w:pStyle w:val="FirstParagraph"/>
      </w:pPr>
      <w:r>
        <w:t xml:space="preserve">This mixed-methods study employs sequential design across six phases:</w:t>
      </w:r>
    </w:p>
    <w:p>
      <w:pPr>
        <w:numPr>
          <w:ilvl w:val="0"/>
          <w:numId w:val="1002"/>
        </w:numPr>
        <w:pStyle w:val="Compact"/>
      </w:pPr>
      <w:r>
        <w:rPr>
          <w:bCs/>
          <w:b/>
        </w:rPr>
        <w:t xml:space="preserve">Phase 1 (3 months):</w:t>
      </w:r>
      <w:r>
        <w:t xml:space="preserve"> </w:t>
      </w:r>
      <w:r>
        <w:t xml:space="preserve">Quantitative analysis of electronic health records from 30,000 Moscow primary care patients (2021–2023) to compare outcomes by care model.</w:t>
      </w:r>
    </w:p>
    <w:p>
      <w:pPr>
        <w:numPr>
          <w:ilvl w:val="0"/>
          <w:numId w:val="1002"/>
        </w:numPr>
        <w:pStyle w:val="Compact"/>
      </w:pPr>
      <w:r>
        <w:rPr>
          <w:bCs/>
          <w:b/>
        </w:rPr>
        <w:t xml:space="preserve">Phase 2 (4 months):</w:t>
      </w:r>
      <w:r>
        <w:t xml:space="preserve"> </w:t>
      </w:r>
      <w:r>
        <w:t xml:space="preserve">Qualitative focus groups with 65 Doctor General Practitioners and 15 clinic administrators in Moscow city districts.</w:t>
      </w:r>
    </w:p>
    <w:p>
      <w:pPr>
        <w:numPr>
          <w:ilvl w:val="0"/>
          <w:numId w:val="1002"/>
        </w:numPr>
        <w:pStyle w:val="Compact"/>
      </w:pPr>
      <w:r>
        <w:rPr>
          <w:bCs/>
          <w:b/>
        </w:rPr>
        <w:t xml:space="preserve">Phase 3 (2 months):</w:t>
      </w:r>
      <w:r>
        <w:t xml:space="preserve"> </w:t>
      </w:r>
      <w:r>
        <w:t xml:space="preserve">Expert Delphi study with WHO Russia representatives, Roszdravnadzor officials, and leading Moscow medical university deans to validate findings.</w:t>
      </w:r>
    </w:p>
    <w:p>
      <w:pPr>
        <w:numPr>
          <w:ilvl w:val="0"/>
          <w:numId w:val="1002"/>
        </w:numPr>
        <w:pStyle w:val="Compact"/>
      </w:pPr>
      <w:r>
        <w:rPr>
          <w:bCs/>
          <w:b/>
        </w:rPr>
        <w:t xml:space="preserve">Phase 4 (5 months):</w:t>
      </w:r>
      <w:r>
        <w:t xml:space="preserve"> </w:t>
      </w:r>
      <w:r>
        <w:t xml:space="preserve">Pilot implementation of the proposed training module in two municipal clinics, measuring physician confidence via pre/post-survey.</w:t>
      </w:r>
    </w:p>
    <w:p>
      <w:pPr>
        <w:pStyle w:val="FirstParagraph"/>
      </w:pPr>
      <w:r>
        <w:t xml:space="preserve">Data collection adheres to Russian Federal Law No. 152-FZ on Personal Data and is approved by the Ethics Committee of Moscow State Medical University. Statistical analysis will use SPSS v28 for regression modeling, while thematic analysis of interviews follows Braun &amp; Clarke (2006).</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contributions to Russia's healthcare ecosystem:</w:t>
      </w:r>
    </w:p>
    <w:p>
      <w:pPr>
        <w:numPr>
          <w:ilvl w:val="0"/>
          <w:numId w:val="1003"/>
        </w:numPr>
        <w:pStyle w:val="Compact"/>
      </w:pPr>
      <w:r>
        <w:rPr>
          <w:bCs/>
          <w:b/>
        </w:rPr>
        <w:t xml:space="preserve">Professional Framework:</w:t>
      </w:r>
      <w:r>
        <w:t xml:space="preserve"> </w:t>
      </w:r>
      <w:r>
        <w:t xml:space="preserve">A validated competency matrix for Doctor General Practitioner certification, addressing Moscow-specific challenges like managing migrant worker health needs and navigating municipal insurance systems.</w:t>
      </w:r>
    </w:p>
    <w:p>
      <w:pPr>
        <w:numPr>
          <w:ilvl w:val="0"/>
          <w:numId w:val="1003"/>
        </w:numPr>
        <w:pStyle w:val="Compact"/>
      </w:pPr>
      <w:r>
        <w:rPr>
          <w:bCs/>
          <w:b/>
        </w:rPr>
        <w:t xml:space="preserve">Economic Impact Model:</w:t>
      </w:r>
      <w:r>
        <w:t xml:space="preserve"> </w:t>
      </w:r>
      <w:r>
        <w:t xml:space="preserve">Evidence demonstrating that GP-led clinics could reduce Moscow's annual healthcare expenditure by 12% (estimated at $870 million) through avoided hospitalizations—directly supporting Russia's 2030 Economic Development Strategy.</w:t>
      </w:r>
    </w:p>
    <w:p>
      <w:pPr>
        <w:numPr>
          <w:ilvl w:val="0"/>
          <w:numId w:val="1003"/>
        </w:numPr>
        <w:pStyle w:val="Compact"/>
      </w:pPr>
      <w:r>
        <w:rPr>
          <w:bCs/>
          <w:b/>
        </w:rPr>
        <w:t xml:space="preserve">Policy Blueprint:</w:t>
      </w:r>
      <w:r>
        <w:t xml:space="preserve"> </w:t>
      </w:r>
      <w:r>
        <w:t xml:space="preserve">A draft amendment to the Federal Law "On Medical Activity" that formalizes the Doctor General Practitioner role within Moscow's healthcare governance structure, including salary benchmarks and mandatory continuing education requirements.</w:t>
      </w:r>
    </w:p>
    <w:p>
      <w:pPr>
        <w:pStyle w:val="FirstParagraph"/>
      </w:pPr>
      <w:r>
        <w:t xml:space="preserve">Crucially, this work aligns with Russia's national priority of "modernizing primary care" (Presidential Decree No. 1675, 2023). Successful implementation in Moscow could serve as a blueprint for all Russian federal subjects, particularly megacities like St. Petersburg and Kazan where similar urban healthcare pressures exist.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2024</w:t>
            </w:r>
          </w:p>
        </w:tc>
        <w:tc>
          <w:tcPr/>
          <w:p>
            <w:pPr>
              <w:pStyle w:val="Compact"/>
              <w:jc w:val="left"/>
            </w:pPr>
            <w:r>
              <w:t xml:space="preserve">Literature review; IRB approval; clinic partnership agreements in Moscow</w:t>
            </w:r>
          </w:p>
        </w:tc>
      </w:tr>
      <w:tr>
        <w:tc>
          <w:tcPr/>
          <w:p>
            <w:pPr>
              <w:pStyle w:val="Compact"/>
              <w:jc w:val="left"/>
            </w:pPr>
            <w:r>
              <w:t xml:space="preserve">Q3–Q4, 2024</w:t>
            </w:r>
          </w:p>
        </w:tc>
        <w:tc>
          <w:tcPr/>
          <w:p>
            <w:pPr>
              <w:pStyle w:val="Compact"/>
              <w:jc w:val="left"/>
            </w:pPr>
            <w:r>
              <w:t xml:space="preserve">Data collection (Phase 1 &amp; 2); initial analysis</w:t>
            </w:r>
          </w:p>
        </w:tc>
      </w:tr>
      <w:tr>
        <w:tc>
          <w:tcPr/>
          <w:p>
            <w:pPr>
              <w:pStyle w:val="Compact"/>
              <w:jc w:val="left"/>
            </w:pPr>
            <w:r>
              <w:t xml:space="preserve">Q1–Q2, 2025</w:t>
            </w:r>
          </w:p>
        </w:tc>
        <w:tc>
          <w:tcPr/>
          <w:p>
            <w:pPr>
              <w:pStyle w:val="Compact"/>
              <w:jc w:val="left"/>
            </w:pPr>
            <w:r>
              <w:t xml:space="preserve">Delphi study; pilot training module development</w:t>
            </w:r>
          </w:p>
        </w:tc>
      </w:tr>
      <w:tr>
        <w:tc>
          <w:tcPr/>
          <w:p>
            <w:pPr>
              <w:pStyle w:val="Compact"/>
              <w:jc w:val="left"/>
            </w:pPr>
            <w:r>
              <w:t xml:space="preserve">Q3–Q4, 2025</w:t>
            </w:r>
          </w:p>
        </w:tc>
        <w:tc>
          <w:tcPr/>
          <w:p>
            <w:pPr>
              <w:pStyle w:val="Compact"/>
              <w:jc w:val="left"/>
            </w:pPr>
            <w:r>
              <w:t xml:space="preserve">Pilot implementation; final data synthesis; thesis drafting</w:t>
            </w:r>
          </w:p>
        </w:tc>
      </w:tr>
    </w:tbl>
    <w:bookmarkEnd w:id="26"/>
    <w:bookmarkStart w:id="27" w:name="conclusion"/>
    <w:p>
      <w:pPr>
        <w:pStyle w:val="Heading2"/>
      </w:pPr>
      <w:r>
        <w:t xml:space="preserve">8. Conclusion</w:t>
      </w:r>
    </w:p>
    <w:p>
      <w:pPr>
        <w:pStyle w:val="FirstParagraph"/>
      </w:pPr>
      <w:r>
        <w:t xml:space="preserve">The Doctor General Practitioner is not merely a title but the linchpin for sustainable, patient-centered healthcare in Russia Moscow. This Thesis Proposal establishes an urgent, evidence-driven pathway to transform primary care by embedding the GP role within Moscow's healthcare DNA—addressing systemic inefficiencies while honoring Russia's constitutional commitment to health equity. By centering our research on real-world clinical settings across Moscow's diverse urban neighborhoods, this project transcends academic exercise to deliver actionable solutions that empower physicians and protect public health. As Russia advances its vision for 21st-century medicine, the Doctor General Practitioner must evolve from a marginal role into the vanguard of accessible, high-quality care—a transformation this thesis will catalyze.</w:t>
      </w:r>
    </w:p>
    <w:bookmarkEnd w:id="27"/>
    <w:bookmarkStart w:id="28" w:name="references-selected"/>
    <w:p>
      <w:pPr>
        <w:pStyle w:val="Heading2"/>
      </w:pPr>
      <w:r>
        <w:t xml:space="preserve">9. References (Selected)</w:t>
      </w:r>
    </w:p>
    <w:p>
      <w:pPr>
        <w:numPr>
          <w:ilvl w:val="0"/>
          <w:numId w:val="1004"/>
        </w:numPr>
        <w:pStyle w:val="Compact"/>
      </w:pPr>
      <w:r>
        <w:t xml:space="preserve">World Health Organization. (2021). *Primary Health Care in Urban Settings: Global Best Practices*. Geneva: WHO.</w:t>
      </w:r>
    </w:p>
    <w:p>
      <w:pPr>
        <w:numPr>
          <w:ilvl w:val="0"/>
          <w:numId w:val="1004"/>
        </w:numPr>
        <w:pStyle w:val="Compact"/>
      </w:pPr>
      <w:r>
        <w:t xml:space="preserve">Ministry of Health of the Russian Federation. (2023). *National Report on Medical Workforce Development*. Moscow.</w:t>
      </w:r>
    </w:p>
    <w:p>
      <w:pPr>
        <w:numPr>
          <w:ilvl w:val="0"/>
          <w:numId w:val="1004"/>
        </w:numPr>
        <w:pStyle w:val="Compact"/>
      </w:pPr>
      <w:r>
        <w:t xml:space="preserve">Ivashchenko, A. V., &amp; Petrova, M. S. (2022). "General Practitioners in Russia: Challenges and Opportunities." *Journal of Russian Medical Education*, 14(3), 45–61.</w:t>
      </w:r>
    </w:p>
    <w:p>
      <w:pPr>
        <w:numPr>
          <w:ilvl w:val="0"/>
          <w:numId w:val="1004"/>
        </w:numPr>
        <w:pStyle w:val="Compact"/>
      </w:pPr>
      <w:r>
        <w:t xml:space="preserve">Presidential Executive Order No. 1675. (2023). *Modernization of Primary Healthcare in the Russian Federation*.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Doctor General Practitioner in Urban Healthcare Systems of Russia Moscow</dc:title>
  <dc:creator/>
  <cp:keywords/>
  <dcterms:created xsi:type="dcterms:W3CDTF">2026-07-22T19:50:49Z</dcterms:created>
  <dcterms:modified xsi:type="dcterms:W3CDTF">2026-07-22T19:50:49Z</dcterms:modified>
</cp:coreProperties>
</file>

<file path=docProps/custom.xml><?xml version="1.0" encoding="utf-8"?>
<Properties xmlns="http://schemas.openxmlformats.org/officeDocument/2006/custom-properties" xmlns:vt="http://schemas.openxmlformats.org/officeDocument/2006/docPropsVTypes"/>
</file>