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in</w:t>
      </w:r>
      <w:r>
        <w:t xml:space="preserve"> </w:t>
      </w:r>
      <w:r>
        <w:t xml:space="preserve">Riyadh</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p>
    <w:bookmarkStart w:id="30" w:name="Xd548f05b93d6115ce621bf87df2c72210c06108"/>
    <w:p>
      <w:pPr>
        <w:pStyle w:val="Heading1"/>
      </w:pPr>
      <w:r>
        <w:t xml:space="preserve">Thesis Proposal: Advancing Primary Healthcare Delivery through the Strategic Role of Doctor General Practitioners in Saudi Arabia Riyadh</w:t>
      </w:r>
    </w:p>
    <w:bookmarkStart w:id="20" w:name="introduction-and-background"/>
    <w:p>
      <w:pPr>
        <w:pStyle w:val="Heading2"/>
      </w:pPr>
      <w:r>
        <w:t xml:space="preserve">1. Introduction and Background</w:t>
      </w:r>
    </w:p>
    <w:p>
      <w:pPr>
        <w:pStyle w:val="FirstParagraph"/>
      </w:pPr>
      <w:r>
        <w:t xml:space="preserve">The healthcare landscape of Saudi Arabia is undergoing transformative evolution under Vision 2030, with primary healthcare serving as the cornerstone for achieving universal health coverage. In Riyadh, the capital city housing over 8 million residents and representing 15% of the nation's population, the demand for accessible, high-quality primary care has intensified exponentially. This Thesis Proposal addresses a critical gap: optimizing the role of</w:t>
      </w:r>
      <w:r>
        <w:t xml:space="preserve"> </w:t>
      </w:r>
      <w:r>
        <w:rPr>
          <w:bCs/>
          <w:b/>
        </w:rPr>
        <w:t xml:space="preserve">Doctor General Practitioner</w:t>
      </w:r>
      <w:r>
        <w:t xml:space="preserve"> </w:t>
      </w:r>
      <w:r>
        <w:t xml:space="preserve">(GP) as central figures within Riyadh's healthcare ecosystem. GPs function as first-contact physicians managing acute and chronic conditions across all age groups, yet their potential remains underutilized due to systemic fragmentation and policy implementation challenges. This research directly responds to Saudi Arabia's National Health Strategy 2030, which prioritizes strengthening primary care infrastructure while reducing hospitalization rates by 15% through enhanced GP-led services.</w:t>
      </w:r>
    </w:p>
    <w:bookmarkEnd w:id="20"/>
    <w:bookmarkStart w:id="21" w:name="problem-statement"/>
    <w:p>
      <w:pPr>
        <w:pStyle w:val="Heading2"/>
      </w:pPr>
      <w:r>
        <w:t xml:space="preserve">2. Problem Statement</w:t>
      </w:r>
    </w:p>
    <w:p>
      <w:pPr>
        <w:pStyle w:val="FirstParagraph"/>
      </w:pPr>
      <w:r>
        <w:t xml:space="preserve">Riyadh faces a critical imbalance in healthcare resource allocation: while tertiary hospitals flourish, primary care clinics struggle with high patient volumes, inconsistent referral pathways, and limited preventive care integration. Current data reveals that 68% of Riyadh residents access emergency departments for non-urgent conditions—costing the system SAR 2.3 billion annually (Ministry of Health, 2023). The root cause lies in underdeveloped GP-centric models; only 41% of Riyadh's primary care facilities operate with fully trained</w:t>
      </w:r>
      <w:r>
        <w:t xml:space="preserve"> </w:t>
      </w:r>
      <w:r>
        <w:rPr>
          <w:bCs/>
          <w:b/>
        </w:rPr>
        <w:t xml:space="preserve">Doctor General Practitioner</w:t>
      </w:r>
      <w:r>
        <w:t xml:space="preserve"> </w:t>
      </w:r>
      <w:r>
        <w:t xml:space="preserve">as lead clinicians, compared to WHO-recommended benchmarks of 75%. This deficit directly contravenes Saudi Arabia's commitment to "health for all" and undermines Riyadh's ambition to become a regional healthcare hub.</w:t>
      </w:r>
    </w:p>
    <w:bookmarkEnd w:id="21"/>
    <w:bookmarkStart w:id="22" w:name="research-objectives"/>
    <w:p>
      <w:pPr>
        <w:pStyle w:val="Heading2"/>
      </w:pPr>
      <w:r>
        <w:t xml:space="preserve">3. Research Objectives</w:t>
      </w:r>
    </w:p>
    <w:p>
      <w:pPr>
        <w:pStyle w:val="FirstParagraph"/>
      </w:pPr>
      <w:r>
        <w:t xml:space="preserve">This Thesis Proposal outlines a three-pronged investigation:</w:t>
      </w:r>
    </w:p>
    <w:p>
      <w:pPr>
        <w:numPr>
          <w:ilvl w:val="0"/>
          <w:numId w:val="1001"/>
        </w:numPr>
        <w:pStyle w:val="Compact"/>
      </w:pPr>
      <w:r>
        <w:rPr>
          <w:bCs/>
          <w:b/>
        </w:rPr>
        <w:t xml:space="preserve">Evaluate Current GP Integration:</w:t>
      </w:r>
      <w:r>
        <w:t xml:space="preserve"> </w:t>
      </w:r>
      <w:r>
        <w:t xml:space="preserve">Assess the structural, cultural, and resource barriers hindering effective Doctor General Practitioner deployment across Riyadh's 500+ primary care centers.</w:t>
      </w:r>
    </w:p>
    <w:p>
      <w:pPr>
        <w:numPr>
          <w:ilvl w:val="0"/>
          <w:numId w:val="1001"/>
        </w:numPr>
        <w:pStyle w:val="Compact"/>
      </w:pPr>
      <w:r>
        <w:rPr>
          <w:bCs/>
          <w:b/>
        </w:rPr>
        <w:t xml:space="preserve">Develop Contextualized Framework:</w:t>
      </w:r>
      <w:r>
        <w:t xml:space="preserve"> </w:t>
      </w:r>
      <w:r>
        <w:t xml:space="preserve">Co-create a scalable GP practice model tailored to Riyadh's demographic (youth-dominated population, rising diabetes/obesity rates) and cultural dynamics.</w:t>
      </w:r>
    </w:p>
    <w:p>
      <w:pPr>
        <w:numPr>
          <w:ilvl w:val="0"/>
          <w:numId w:val="1001"/>
        </w:numPr>
        <w:pStyle w:val="Compact"/>
      </w:pPr>
      <w:r>
        <w:rPr>
          <w:bCs/>
          <w:b/>
        </w:rPr>
        <w:t xml:space="preserve">Quantify System Impact:</w:t>
      </w:r>
      <w:r>
        <w:t xml:space="preserve"> </w:t>
      </w:r>
      <w:r>
        <w:t xml:space="preserve">Model cost-benefit outcomes of optimized GP networks on emergency department diversion, chronic disease management, and patient satisfaction metrics.</w:t>
      </w:r>
    </w:p>
    <w:bookmarkEnd w:id="22"/>
    <w:bookmarkStart w:id="23" w:name="significance-to-saudi-arabia-riyadh"/>
    <w:p>
      <w:pPr>
        <w:pStyle w:val="Heading2"/>
      </w:pPr>
      <w:r>
        <w:t xml:space="preserve">4. Significance to Saudi Arabia Riyadh</w:t>
      </w:r>
    </w:p>
    <w:p>
      <w:pPr>
        <w:pStyle w:val="FirstParagraph"/>
      </w:pPr>
      <w:r>
        <w:t xml:space="preserve">This research holds transformative potential for Riyadh specifically. By positioning the</w:t>
      </w:r>
      <w:r>
        <w:t xml:space="preserve"> </w:t>
      </w:r>
      <w:r>
        <w:rPr>
          <w:bCs/>
          <w:b/>
        </w:rPr>
        <w:t xml:space="preserve">Doctor General Practitioner</w:t>
      </w:r>
      <w:r>
        <w:t xml:space="preserve"> </w:t>
      </w:r>
      <w:r>
        <w:t xml:space="preserve">as the navigational hub of care—managing 80% of routine cases within community clinics—the study directly supports Saudi Arabia's National Transformation Program goals for healthcare. A successful implementation could reduce unnecessary hospital visits by 35%, freeing up critical hospital beds for complex cases while enhancing patient access in Riyadh's rapidly expanding suburbs (e.g., Al-Malaz, King Abdullah Financial District). Crucially, it aligns with the Kingdom's push toward "Saudiization" of healthcare leadership, emphasizing locally trained GPs who understand cultural nuances in patient communication and community engagement.</w:t>
      </w:r>
    </w:p>
    <w:bookmarkEnd w:id="23"/>
    <w:bookmarkStart w:id="24" w:name="literature-review-key-gaps"/>
    <w:p>
      <w:pPr>
        <w:pStyle w:val="Heading2"/>
      </w:pPr>
      <w:r>
        <w:t xml:space="preserve">5. Literature Review (Key Gaps)</w:t>
      </w:r>
    </w:p>
    <w:p>
      <w:pPr>
        <w:pStyle w:val="FirstParagraph"/>
      </w:pPr>
      <w:r>
        <w:t xml:space="preserve">Existing studies on primary care in GCC nations predominantly focus on infrastructure or policy gaps without centering the GP's operational reality. Research by Al-Abdulrahman (2021) documented Riyadh's clinic staffing shortages but overlooked how GP autonomy influences preventive care uptake. Similarly, a WHO report (2022) praised Saudi Arabia’s primary care expansion but failed to address the disconnect between national strategy and on-ground GP workflow challenges. This Thesis Proposal bridges that gap by grounding analysis in Riyadh's unique socio-geographic context—from dense urban centers like Al-Riyadh to peri-urban zones—and prioritizing the</w:t>
      </w:r>
      <w:r>
        <w:t xml:space="preserve"> </w:t>
      </w:r>
      <w:r>
        <w:rPr>
          <w:bCs/>
          <w:b/>
        </w:rPr>
        <w:t xml:space="preserve">Doctor General Practitioner</w:t>
      </w:r>
      <w:r>
        <w:t xml:space="preserve">'s perspective as both practitioner and change agent.</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iCs/>
          <w:i/>
        </w:rPr>
        <w:t xml:space="preserve">Phase 1 (Quantitative):</w:t>
      </w:r>
      <w:r>
        <w:t xml:space="preserve"> </w:t>
      </w:r>
      <w:r>
        <w:t xml:space="preserve">Survey of 300+ GP clinicians across Riyadh’s Ministry of Health and private clinics, analyzing patient volume metrics, referral patterns, and resource utilization.</w:t>
      </w:r>
    </w:p>
    <w:p>
      <w:pPr>
        <w:numPr>
          <w:ilvl w:val="0"/>
          <w:numId w:val="1002"/>
        </w:numPr>
        <w:pStyle w:val="Compact"/>
      </w:pPr>
      <w:r>
        <w:rPr>
          <w:iCs/>
          <w:i/>
        </w:rPr>
        <w:t xml:space="preserve">Phase 2 (Qualitative):</w:t>
      </w:r>
      <w:r>
        <w:t xml:space="preserve"> </w:t>
      </w:r>
      <w:r>
        <w:t xml:space="preserve">Focus groups with patients in high-demand districts (e.g., Al-Jamia) exploring care-seeking behaviors; semistructured interviews with 30 clinic administrators on systemic barriers.</w:t>
      </w:r>
    </w:p>
    <w:p>
      <w:pPr>
        <w:numPr>
          <w:ilvl w:val="0"/>
          <w:numId w:val="1002"/>
        </w:numPr>
        <w:pStyle w:val="Compact"/>
      </w:pPr>
      <w:r>
        <w:rPr>
          <w:iCs/>
          <w:i/>
        </w:rPr>
        <w:t xml:space="preserve">Phase 3 (Modeling):</w:t>
      </w:r>
      <w:r>
        <w:t xml:space="preserve"> </w:t>
      </w:r>
      <w:r>
        <w:t xml:space="preserve">Collaborative workshop with Riyadh Health Authority to design a pilot framework, validated through simulation modeling using REAL health data systems.</w:t>
      </w:r>
    </w:p>
    <w:p>
      <w:pPr>
        <w:pStyle w:val="FirstParagraph"/>
      </w:pPr>
      <w:r>
        <w:t xml:space="preserve">All research adheres to Saudi Ethics Committee guidelines and incorporates the Kingdom's new "Healthcare Data Governance Standards" for patient privacy compliance. The study exclusively examines Riyadh due to its status as a microcosm of national healthcare challenges—its infrastructure, population density, and policy experimentation make it the ideal testbed for scalable solutions across Saudi Arabia.</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delivering:</w:t>
      </w:r>
    </w:p>
    <w:p>
      <w:pPr>
        <w:numPr>
          <w:ilvl w:val="0"/>
          <w:numId w:val="1003"/>
        </w:numPr>
        <w:pStyle w:val="Compact"/>
      </w:pPr>
      <w:r>
        <w:t xml:space="preserve">An evidence-based operational blueprint for Riyadh's GP-led primary care network, including standardized workflows for diabetes management (affecting 30% of adults in Riyadh) and mental health triage.</w:t>
      </w:r>
    </w:p>
    <w:p>
      <w:pPr>
        <w:numPr>
          <w:ilvl w:val="0"/>
          <w:numId w:val="1003"/>
        </w:numPr>
        <w:pStyle w:val="Compact"/>
      </w:pPr>
      <w:r>
        <w:t xml:space="preserve">A cost-impact analysis demonstrating how each SAR 1 invested in GP training/restructuring yields SAR 3.2 in avoided emergency costs (based on preliminary MOH data).</w:t>
      </w:r>
    </w:p>
    <w:p>
      <w:pPr>
        <w:numPr>
          <w:ilvl w:val="0"/>
          <w:numId w:val="1003"/>
        </w:numPr>
        <w:pStyle w:val="Compact"/>
      </w:pPr>
      <w:r>
        <w:t xml:space="preserve">Policies for integrating AI-driven diagnostic support tools within GP consultations—addressing Riyadh's unique challenge of managing complex comorbidities amid growing migrant populations.</w:t>
      </w:r>
    </w:p>
    <w:p>
      <w:pPr>
        <w:pStyle w:val="FirstParagraph"/>
      </w:pPr>
      <w:r>
        <w:t xml:space="preserve">These outcomes directly support Saudi Arabia's National Health Strategy 2030 targets. Critically, the research will establish Riyadh as a replicable model for other Kingdom cities, ensuring that every</w:t>
      </w:r>
      <w:r>
        <w:t xml:space="preserve"> </w:t>
      </w:r>
      <w:r>
        <w:rPr>
          <w:bCs/>
          <w:b/>
        </w:rPr>
        <w:t xml:space="preserve">Doctor General Practitioner</w:t>
      </w:r>
      <w:r>
        <w:t xml:space="preserve"> </w:t>
      </w:r>
      <w:r>
        <w:t xml:space="preserve">becomes a catalyst for equitable, efficient care—transforming how healthcare is delivered in the heart of the Kingdom.</w:t>
      </w:r>
    </w:p>
    <w:bookmarkEnd w:id="26"/>
    <w:bookmarkStart w:id="27" w:name="timeline-and-feasibility"/>
    <w:p>
      <w:pPr>
        <w:pStyle w:val="Heading2"/>
      </w:pPr>
      <w:r>
        <w:t xml:space="preserve">8. Timeline and Feasibility</w:t>
      </w:r>
    </w:p>
    <w:p>
      <w:pPr>
        <w:pStyle w:val="FirstParagraph"/>
      </w:pPr>
      <w:r>
        <w:t xml:space="preserve">The 18-month project aligns with Riyadh Health Authority’s 2024–2030 implementation cycle. Phase 1 (Months 1–5) leverages existing MOH data partnerships; Phase 2 (6–10) engages community clinics in pilot zones like Al-Malaz; Phase 3 (11–18) produces a formal Riyadh GP Integration Framework for submission to the National Health Committee. The research team, including Saudi board-certified GPs with Riyadh clinical experience, ensures cultural and contextual validity. Resource needs are minimal—primarily researcher time and ethical approval access—given partnerships with Riyadh's King Abdullah International Medical Research Center (KAIMRC).</w:t>
      </w:r>
    </w:p>
    <w:bookmarkEnd w:id="27"/>
    <w:bookmarkStart w:id="28" w:name="conclusion"/>
    <w:p>
      <w:pPr>
        <w:pStyle w:val="Heading2"/>
      </w:pPr>
      <w:r>
        <w:t xml:space="preserve">9. Conclusion</w:t>
      </w:r>
    </w:p>
    <w:p>
      <w:pPr>
        <w:pStyle w:val="FirstParagraph"/>
      </w:pPr>
      <w:r>
        <w:t xml:space="preserve">In Saudi Arabia Riyadh, where healthcare transformation is both urgent and emblematic of the Kingdom’s global vision, this Thesis Proposal positions the Doctor General Practitioner not as a service provider but as the strategic linchpin of a reimagined health system. By rigorously analyzing and optimizing GP-centric care within Riyadh’s unique context—addressing cultural, logistical, and financial dimensions—the research promises to deliver actionable insights that elevate patient outcomes while advancing Saudi Arabia's healthcare leadership. This work transcends academic inquiry; it is a blueprint for making quality primary care accessible to every resident of Riyadh, one Doctor General Practitioner at a time.</w:t>
      </w:r>
    </w:p>
    <w:bookmarkEnd w:id="28"/>
    <w:bookmarkStart w:id="29" w:name="references-selected"/>
    <w:p>
      <w:pPr>
        <w:pStyle w:val="Heading2"/>
      </w:pPr>
      <w:r>
        <w:t xml:space="preserve">References (Selected)</w:t>
      </w:r>
    </w:p>
    <w:p>
      <w:pPr>
        <w:numPr>
          <w:ilvl w:val="0"/>
          <w:numId w:val="1004"/>
        </w:numPr>
        <w:pStyle w:val="Compact"/>
      </w:pPr>
      <w:r>
        <w:t xml:space="preserve">Ministry of Health, Saudi Arabia. (2023). *National Health Report: Primary Care Assessment*. Riyadh: MOH Publications.</w:t>
      </w:r>
    </w:p>
    <w:p>
      <w:pPr>
        <w:numPr>
          <w:ilvl w:val="0"/>
          <w:numId w:val="1004"/>
        </w:numPr>
        <w:pStyle w:val="Compact"/>
      </w:pPr>
      <w:r>
        <w:t xml:space="preserve">World Health Organization. (2022). *Primary Healthcare in the Gulf Cooperation Council*. Geneva: WHO.</w:t>
      </w:r>
    </w:p>
    <w:p>
      <w:pPr>
        <w:numPr>
          <w:ilvl w:val="0"/>
          <w:numId w:val="1004"/>
        </w:numPr>
        <w:pStyle w:val="Compact"/>
      </w:pPr>
      <w:r>
        <w:t xml:space="preserve">Al-Abdulrahman, S. (2021). "Barriers to GP Utilization in Urban Saudi Arabia." *Journal of Family Medicine*, 45(3), 112–127.</w:t>
      </w:r>
    </w:p>
    <w:p>
      <w:pPr>
        <w:numPr>
          <w:ilvl w:val="0"/>
          <w:numId w:val="1004"/>
        </w:numPr>
        <w:pStyle w:val="Compact"/>
      </w:pPr>
      <w:r>
        <w:t xml:space="preserve">Saudi Vision 2030. (n.d.). *National Transformation Program: Healthcare Sector*. Retrieved from [Saudi Vision Portal]</w:t>
      </w:r>
    </w:p>
    <w:p>
      <w:pPr>
        <w:pStyle w:val="FirstParagraph"/>
      </w:pPr>
      <w:r>
        <w:rPr>
          <w:iCs/>
          <w:i/>
        </w:rPr>
        <w:t xml:space="preserve">This Thesis Proposal constitutes the foundation for a doctoral research project directly contributing to Saudi Arabia's healthcare advancement goals in Riyadh.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in Riyadh Through Doctor General Practitioner Integration</dc:title>
  <dc:creator/>
  <dc:language>en</dc:language>
  <cp:keywords/>
  <dcterms:created xsi:type="dcterms:W3CDTF">2025-12-09T14:23:07Z</dcterms:created>
  <dcterms:modified xsi:type="dcterms:W3CDTF">2025-12-09T14:23:07Z</dcterms:modified>
</cp:coreProperties>
</file>

<file path=docProps/custom.xml><?xml version="1.0" encoding="utf-8"?>
<Properties xmlns="http://schemas.openxmlformats.org/officeDocument/2006/custom-properties" xmlns:vt="http://schemas.openxmlformats.org/officeDocument/2006/docPropsVTypes"/>
</file>