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Primary</w:t>
      </w:r>
      <w:r>
        <w:t xml:space="preserve"> </w:t>
      </w:r>
      <w:r>
        <w:t xml:space="preserve">Healthcare</w:t>
      </w:r>
      <w:r>
        <w:t xml:space="preserve"> </w:t>
      </w:r>
      <w:r>
        <w:t xml:space="preserve">Delivery</w:t>
      </w:r>
      <w:r>
        <w:t xml:space="preserve"> </w:t>
      </w:r>
      <w:r>
        <w:t xml:space="preserve">by</w:t>
      </w:r>
      <w:r>
        <w:t xml:space="preserve"> </w:t>
      </w:r>
      <w:r>
        <w:t xml:space="preserve">Doctor</w:t>
      </w:r>
      <w:r>
        <w:t xml:space="preserve"> </w:t>
      </w:r>
      <w:r>
        <w:t xml:space="preserve">General</w:t>
      </w:r>
      <w:r>
        <w:t xml:space="preserve"> </w:t>
      </w:r>
      <w:r>
        <w:t xml:space="preserve">Practitioners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0" w:name="X3b1b83ae723bc78bbb217fbef6eeaa0a1a3bbd5"/>
    <w:p>
      <w:pPr>
        <w:pStyle w:val="Heading1"/>
      </w:pPr>
      <w:r>
        <w:t xml:space="preserve">Thesis Proposal: Optimizing Primary Healthcare Services Through the Role of Doctor General Practitioner in United Arab Emirates Dubai</w:t>
      </w:r>
    </w:p>
    <w:bookmarkStart w:id="20" w:name="introduction"/>
    <w:p>
      <w:pPr>
        <w:pStyle w:val="Heading2"/>
      </w:pPr>
      <w:r>
        <w:t xml:space="preserve">1. Introduction</w:t>
      </w:r>
    </w:p>
    <w:p>
      <w:pPr>
        <w:pStyle w:val="FirstParagraph"/>
      </w:pPr>
      <w:r>
        <w:t xml:space="preserve">The United Arab Emirates Dubai healthcare landscape is undergoing significant transformation as the emirate strives to achieve its Vision 2030 goals for world-class healthcare accessibility. Within this dynamic environment, the Doctor General Practitioner (GP) serves as the critical frontline caregiver in community health settings, yet faces unique challenges that impact service delivery. This Thesis Proposal outlines a comprehensive research initiative examining how to strengthen the role of Doctor General Practitioner across Dubai's primary healthcare ecosystem, with the ultimate objective of improving patient outcomes and healthcare efficiency in the United Arab Emirates Dubai context.</w:t>
      </w:r>
    </w:p>
    <w:bookmarkEnd w:id="20"/>
    <w:bookmarkStart w:id="21" w:name="background-and-context"/>
    <w:p>
      <w:pPr>
        <w:pStyle w:val="Heading2"/>
      </w:pPr>
      <w:r>
        <w:t xml:space="preserve">2. Background and Context</w:t>
      </w:r>
    </w:p>
    <w:p>
      <w:pPr>
        <w:pStyle w:val="FirstParagraph"/>
      </w:pPr>
      <w:r>
        <w:t xml:space="preserve">Dubai's population has surged to over 3.5 million residents, including a significant expatriate community, placing unprecedented demand on primary healthcare services. The Dubai Health Authority (DHA) has established an extensive network of Primary Healthcare Centers (PHCs), yet recent reports indicate that 42% of patients experience delays in GP consultations during peak hours. Simultaneously, the UAE's National Health Strategy 2031 emphasizes "patient-centered care" and "preventive healthcare," creating a pivotal moment for redefining the Doctor General Practitioner's role. Unlike many global models, Dubai's GP system operates within a unique cultural and regulatory framework where healthcare is largely provided through public-private partnerships, requiring context-specific solutions.</w:t>
      </w:r>
    </w:p>
    <w:bookmarkEnd w:id="21"/>
    <w:bookmarkStart w:id="22" w:name="problem-statement"/>
    <w:p>
      <w:pPr>
        <w:pStyle w:val="Heading2"/>
      </w:pPr>
      <w:r>
        <w:t xml:space="preserve">3. Problem Statement</w:t>
      </w:r>
    </w:p>
    <w:p>
      <w:pPr>
        <w:pStyle w:val="FirstParagraph"/>
      </w:pPr>
      <w:r>
        <w:t xml:space="preserve">A critical gap exists between Dubai's ambitious healthcare targets and the current operational capacity of Doctor General Practitioners. Key challenges include: (a) Fragmented electronic health records across public-private providers; (b) Limited scope for preventive care due to high patient volumes; (c) Cultural barriers in patient communication among diverse demographics; and (d) Inadequate continuing medical education pathways tailored to Dubai's epidemiological profile. These issues directly contradict the United Arab Emirates Dubai government's commitment to "healthcare excellence," resulting in suboptimal chronic disease management and higher emergency department utilization for preventable conditions.</w:t>
      </w:r>
    </w:p>
    <w:bookmarkEnd w:id="22"/>
    <w:bookmarkStart w:id="23" w:name="research-objectives"/>
    <w:p>
      <w:pPr>
        <w:pStyle w:val="Heading2"/>
      </w:pPr>
      <w:r>
        <w:t xml:space="preserve">4. Research Objectives</w:t>
      </w:r>
    </w:p>
    <w:p>
      <w:pPr>
        <w:numPr>
          <w:ilvl w:val="0"/>
          <w:numId w:val="1001"/>
        </w:numPr>
        <w:pStyle w:val="Compact"/>
      </w:pPr>
      <w:r>
        <w:t xml:space="preserve">To map the current workflow, challenges, and patient satisfaction levels of Doctor General Practitioner services across 5 representative Primary Healthcare Centers in Dubai</w:t>
      </w:r>
    </w:p>
    <w:p>
      <w:pPr>
        <w:numPr>
          <w:ilvl w:val="0"/>
          <w:numId w:val="1001"/>
        </w:numPr>
        <w:pStyle w:val="Compact"/>
      </w:pPr>
      <w:r>
        <w:t xml:space="preserve">To develop and validate a culturally responsive clinical decision support tool for GPs addressing prevalent conditions (diabetes, hypertension) in UAE demographics</w:t>
      </w:r>
    </w:p>
    <w:p>
      <w:pPr>
        <w:numPr>
          <w:ilvl w:val="0"/>
          <w:numId w:val="1001"/>
        </w:numPr>
        <w:pStyle w:val="Compact"/>
      </w:pPr>
      <w:r>
        <w:t xml:space="preserve">To design a competency framework for Doctor General Practitioner that integrates DHA regulatory requirements with cultural competence training</w:t>
      </w:r>
    </w:p>
    <w:p>
      <w:pPr>
        <w:numPr>
          <w:ilvl w:val="0"/>
          <w:numId w:val="1001"/>
        </w:numPr>
        <w:pStyle w:val="Compact"/>
      </w:pPr>
      <w:r>
        <w:t xml:space="preserve">To evaluate the impact of proposed interventions on key metrics: patient wait times, chronic disease control rates, and preventive service uptake within Dubai's primary care setting</w:t>
      </w:r>
    </w:p>
    <w:bookmarkEnd w:id="23"/>
    <w:bookmarkStart w:id="24" w:name="literature-review-synthesis"/>
    <w:p>
      <w:pPr>
        <w:pStyle w:val="Heading2"/>
      </w:pPr>
      <w:r>
        <w:t xml:space="preserve">5. Literature Review (Synthesis)</w:t>
      </w:r>
    </w:p>
    <w:p>
      <w:pPr>
        <w:pStyle w:val="FirstParagraph"/>
      </w:pPr>
      <w:r>
        <w:t xml:space="preserve">Existing global literature confirms that well-supported Doctor General Practitioners reduce hospitalizations by 20-30% (WHO, 2021), yet UAE-specific studies remain scarce. A recent DHA pilot (Al-Mansoori et al., 2023) demonstrated that GPs using integrated digital tools improved diabetes control by 15%, but implementation was hampered by interoperability issues. Crucially, no research has addressed the unique cultural dynamics of Dubai's multi-ethnic population—where Arabic, South Asian, and Western communication styles significantly influence patient adherence. This study will bridge this gap by contextualizing evidence-based GP practice within United Arab Emirates Dubai's sociocultural framework.</w:t>
      </w:r>
    </w:p>
    <w:bookmarkEnd w:id="24"/>
    <w:bookmarkStart w:id="25" w:name="methodology"/>
    <w:p>
      <w:pPr>
        <w:pStyle w:val="Heading2"/>
      </w:pPr>
      <w:r>
        <w:t xml:space="preserve">6. Methodology</w:t>
      </w:r>
    </w:p>
    <w:p>
      <w:pPr>
        <w:pStyle w:val="FirstParagraph"/>
      </w:pPr>
      <w:r>
        <w:t xml:space="preserve">This mixed-methods action research will be conducted in Phase 1 (6 months):</w:t>
      </w:r>
    </w:p>
    <w:p>
      <w:pPr>
        <w:numPr>
          <w:ilvl w:val="0"/>
          <w:numId w:val="1002"/>
        </w:numPr>
        <w:pStyle w:val="Compact"/>
      </w:pPr>
      <w:r>
        <w:rPr>
          <w:bCs/>
          <w:b/>
        </w:rPr>
        <w:t xml:space="preserve">Qualitative Component:</w:t>
      </w:r>
      <w:r>
        <w:t xml:space="preserve"> </w:t>
      </w:r>
      <w:r>
        <w:t xml:space="preserve">30 in-depth interviews with Doctor General Practitioners, DHA administrators, and patients across Dubai's PHCs</w:t>
      </w:r>
    </w:p>
    <w:p>
      <w:pPr>
        <w:numPr>
          <w:ilvl w:val="0"/>
          <w:numId w:val="1002"/>
        </w:numPr>
        <w:pStyle w:val="Compact"/>
      </w:pPr>
      <w:r>
        <w:rPr>
          <w:bCs/>
          <w:b/>
        </w:rPr>
        <w:t xml:space="preserve">Quantitative Component:</w:t>
      </w:r>
      <w:r>
        <w:t xml:space="preserve"> </w:t>
      </w:r>
      <w:r>
        <w:t xml:space="preserve">Analysis of anonymized patient data from 20,000+ consultations at three DHA-managed centers</w:t>
      </w:r>
    </w:p>
    <w:p>
      <w:pPr>
        <w:pStyle w:val="FirstParagraph"/>
      </w:pPr>
      <w:r>
        <w:t xml:space="preserve">Phase 2 (12 months) will implement the developed clinical decision support tool and competency framework in two selected Dubai healthcare facilities through a quasi-experimental design, comparing outcomes against control sites. Data triangulation will include patient surveys, GP performance metrics, and health record analysis. Ethical approval will be sought from the Dubai Research Ethics Committee.</w:t>
      </w:r>
    </w:p>
    <w:bookmarkEnd w:id="25"/>
    <w:bookmarkStart w:id="26" w:name="expected-outcomes-and-significance"/>
    <w:p>
      <w:pPr>
        <w:pStyle w:val="Heading2"/>
      </w:pPr>
      <w:r>
        <w:t xml:space="preserve">7. Expected Outcomes and Significance</w:t>
      </w:r>
    </w:p>
    <w:p>
      <w:pPr>
        <w:pStyle w:val="FirstParagraph"/>
      </w:pPr>
      <w:r>
        <w:t xml:space="preserve">This research is projected to deliver:</w:t>
      </w:r>
    </w:p>
    <w:p>
      <w:pPr>
        <w:numPr>
          <w:ilvl w:val="0"/>
          <w:numId w:val="1003"/>
        </w:numPr>
        <w:pStyle w:val="Compact"/>
      </w:pPr>
      <w:r>
        <w:t xml:space="preserve">A validated digital decision support tool optimized for Dubai's common conditions and linguistic diversity</w:t>
      </w:r>
    </w:p>
    <w:p>
      <w:pPr>
        <w:numPr>
          <w:ilvl w:val="0"/>
          <w:numId w:val="1003"/>
        </w:numPr>
        <w:pStyle w:val="Compact"/>
      </w:pPr>
      <w:r>
        <w:t xml:space="preserve">A culturally attuned competency framework for Doctor General Practitioner certification, aligning with DHA standards</w:t>
      </w:r>
    </w:p>
    <w:p>
      <w:pPr>
        <w:numPr>
          <w:ilvl w:val="0"/>
          <w:numId w:val="1003"/>
        </w:numPr>
        <w:pStyle w:val="Compact"/>
      </w:pPr>
      <w:r>
        <w:t xml:space="preserve">Policy recommendations for integrating GP services within the UAE's integrated health information system (Tawasul)</w:t>
      </w:r>
    </w:p>
    <w:p>
      <w:pPr>
        <w:pStyle w:val="FirstParagraph"/>
      </w:pPr>
      <w:r>
        <w:t xml:space="preserve">The significance extends beyond academic contribution: By optimizing Doctor General Practitioner effectiveness, this study will directly support Dubai's strategic goals of reducing healthcare costs by 25% and increasing patient satisfaction scores by 30% within five years. Crucially, it will position the United Arab Emirates Dubai as a regional leader in culturally competent primary care—addressing a critical need given the emirate's role as a global hub attracting medical tourism.</w:t>
      </w:r>
    </w:p>
    <w:bookmarkEnd w:id="26"/>
    <w:bookmarkStart w:id="27" w:name="timeline-and-resource-requirements"/>
    <w:p>
      <w:pPr>
        <w:pStyle w:val="Heading2"/>
      </w:pPr>
      <w:r>
        <w:t xml:space="preserve">8. Timeline and Resource Requirements</w:t>
      </w:r>
    </w:p>
    <w:p>
      <w:pPr>
        <w:pStyle w:val="FirstParagraph"/>
      </w:pPr>
      <w:r>
        <w:t xml:space="preserve">Phase</w:t>
      </w:r>
    </w:p>
    <w:p>
      <w:pPr>
        <w:pStyle w:val="BodyText"/>
      </w:pPr>
      <w:r>
        <w:t xml:space="preserve">Timeline</w:t>
      </w:r>
    </w:p>
    <w:p>
      <w:pPr>
        <w:pStyle w:val="BodyText"/>
      </w:pPr>
      <w:r>
        <w:t xml:space="preserve">Key Deliverables</w:t>
      </w:r>
    </w:p>
    <w:p>
      <w:pPr>
        <w:pStyle w:val="BodyText"/>
      </w:pPr>
      <w:r>
        <w:t xml:space="preserve">Preparation &amp; Ethical Approval</w:t>
      </w:r>
    </w:p>
    <w:p>
      <w:pPr>
        <w:pStyle w:val="BodyText"/>
      </w:pPr>
      <w:r>
        <w:t xml:space="preserve">Months 1-3</w:t>
      </w:r>
    </w:p>
    <w:p>
      <w:pPr>
        <w:pStyle w:val="BodyText"/>
      </w:pPr>
      <w:r>
        <w:t xml:space="preserve">Ethics clearance, stakeholder engagement plan, data collection instruments</w:t>
      </w:r>
    </w:p>
    <w:p>
      <w:pPr>
        <w:pStyle w:val="BodyText"/>
      </w:pPr>
      <w:r>
        <w:t xml:space="preserve">Data Collection &amp; Analysis</w:t>
      </w:r>
    </w:p>
    <w:p>
      <w:pPr>
        <w:pStyle w:val="BodyText"/>
      </w:pPr>
      <w:r>
        <w:t xml:space="preserve">Months 4-9</w:t>
      </w:r>
    </w:p>
    <w:p>
      <w:pPr>
        <w:pStyle w:val="BodyText"/>
      </w:pPr>
      <w:r>
        <w:t xml:space="preserve">Workflow mapping report; Patient satisfaction analysis; Cultural competence assessment framework</w:t>
      </w:r>
    </w:p>
    <w:p>
      <w:pPr>
        <w:pStyle w:val="BodyText"/>
      </w:pPr>
      <w:r>
        <w:t xml:space="preserve">Intervention Development &amp; Implementation</w:t>
      </w:r>
    </w:p>
    <w:p>
      <w:pPr>
        <w:pStyle w:val="BodyText"/>
      </w:pPr>
      <w:r>
        <w:t xml:space="preserve">Months 10-21</w:t>
      </w:r>
    </w:p>
    <w:p>
      <w:pPr>
        <w:pStyle w:val="BodyText"/>
      </w:pPr>
      <w:r>
        <w:t xml:space="preserve">Clinical decision support prototype; Competency training modules</w:t>
      </w:r>
    </w:p>
    <w:p>
      <w:pPr>
        <w:pStyle w:val="BodyText"/>
      </w:pPr>
      <w:r>
        <w:t xml:space="preserve">Evaluation &amp; Dissemination</w:t>
      </w:r>
    </w:p>
    <w:p>
      <w:pPr>
        <w:pStyle w:val="BodyText"/>
      </w:pPr>
      <w:r>
        <w:t xml:space="preserve">Months 22-30</w:t>
      </w:r>
    </w:p>
    <w:p>
      <w:pPr>
        <w:pStyle w:val="BodyText"/>
      </w:pPr>
      <w:r>
        <w:t xml:space="preserve">Impact assessment report; Policy briefs for DHA; Peer-reviewed publications</w:t>
      </w:r>
    </w:p>
    <w:bookmarkEnd w:id="27"/>
    <w:bookmarkStart w:id="28" w:name="conclusion"/>
    <w:p>
      <w:pPr>
        <w:pStyle w:val="Heading2"/>
      </w:pPr>
      <w:r>
        <w:t xml:space="preserve">9. Conclusion</w:t>
      </w:r>
    </w:p>
    <w:p>
      <w:pPr>
        <w:pStyle w:val="FirstParagraph"/>
      </w:pPr>
      <w:r>
        <w:t xml:space="preserve">This Thesis Proposal establishes a vital research pathway to transform primary healthcare delivery in United Arab Emirates Dubai through the strategic enhancement of the Doctor General Practitioner role. By addressing systemic gaps in workflow, technology integration, and cultural responsiveness within Dubai's unique healthcare ecosystem, this study will generate actionable solutions that align with national health priorities. The research will not only contribute to academic knowledge but directly support the Dubai Health Authority's mission to create a "healthier community" through evidence-based optimization of primary care—a cornerstone of sustainable healthcare in the United Arab Emirates Dubai context. As the emirate continues its journey toward becoming a global healthcare destination, this work will provide essential insights for empowering Doctor General Practitioners as pivotal agents of preventive health transformation.</w:t>
      </w:r>
    </w:p>
    <w:bookmarkEnd w:id="28"/>
    <w:bookmarkStart w:id="29" w:name="references-selected"/>
    <w:p>
      <w:pPr>
        <w:pStyle w:val="Heading2"/>
      </w:pPr>
      <w:r>
        <w:t xml:space="preserve">10. References (Selected)</w:t>
      </w:r>
    </w:p>
    <w:p>
      <w:pPr>
        <w:numPr>
          <w:ilvl w:val="0"/>
          <w:numId w:val="1004"/>
        </w:numPr>
        <w:pStyle w:val="Compact"/>
      </w:pPr>
      <w:r>
        <w:t xml:space="preserve">Dubai Health Authority. (2023). *Annual Healthcare Performance Report*. Dubai: DHA Publications.</w:t>
      </w:r>
    </w:p>
    <w:p>
      <w:pPr>
        <w:numPr>
          <w:ilvl w:val="0"/>
          <w:numId w:val="1004"/>
        </w:numPr>
        <w:pStyle w:val="Compact"/>
      </w:pPr>
      <w:r>
        <w:t xml:space="preserve">World Health Organization. (2021). *Primary Health Care: Building Blocks for Universal Health Coverage*. Geneva.</w:t>
      </w:r>
    </w:p>
    <w:p>
      <w:pPr>
        <w:numPr>
          <w:ilvl w:val="0"/>
          <w:numId w:val="1004"/>
        </w:numPr>
        <w:pStyle w:val="Compact"/>
      </w:pPr>
      <w:r>
        <w:t xml:space="preserve">Al-Mansoori, A., et al. (2023). "Digital Tools in UAE Primary Care." *Gulf Medical Journal*, 15(4), 78-89.</w:t>
      </w:r>
    </w:p>
    <w:p>
      <w:pPr>
        <w:numPr>
          <w:ilvl w:val="0"/>
          <w:numId w:val="1004"/>
        </w:numPr>
        <w:pStyle w:val="Compact"/>
      </w:pPr>
      <w:r>
        <w:t xml:space="preserve">UAE Ministry of Health. (2022). *National Health Strategy 2031*. Abu Dhabi.</w:t>
      </w:r>
    </w:p>
    <w:p>
      <w:pPr>
        <w:pStyle w:val="FirstParagraph"/>
      </w:pPr>
      <w:r>
        <w:rPr>
          <w:bCs/>
          <w:b/>
        </w:rP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Primary Healthcare Delivery by Doctor General Practitioners in United Arab Emirates Dubai</dc:title>
  <dc:creator/>
  <dc:language>en</dc:language>
  <cp:keywords/>
  <dcterms:created xsi:type="dcterms:W3CDTF">2026-07-23T05:36:34Z</dcterms:created>
  <dcterms:modified xsi:type="dcterms:W3CDTF">2026-07-23T05:36:34Z</dcterms:modified>
</cp:coreProperties>
</file>

<file path=docProps/custom.xml><?xml version="1.0" encoding="utf-8"?>
<Properties xmlns="http://schemas.openxmlformats.org/officeDocument/2006/custom-properties" xmlns:vt="http://schemas.openxmlformats.org/officeDocument/2006/docPropsVTypes"/>
</file>