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Data-Driven</w:t>
      </w:r>
      <w:r>
        <w:t xml:space="preserve"> </w:t>
      </w:r>
      <w:r>
        <w:t xml:space="preserve">Economic</w:t>
      </w:r>
      <w:r>
        <w:t xml:space="preserve"> </w:t>
      </w:r>
      <w:r>
        <w:t xml:space="preserve">Forecasting</w:t>
      </w:r>
      <w:r>
        <w:t xml:space="preserve"> </w:t>
      </w:r>
      <w:r>
        <w:t xml:space="preserve">in</w:t>
      </w:r>
      <w:r>
        <w:t xml:space="preserve"> </w:t>
      </w:r>
      <w:r>
        <w:t xml:space="preserve">Frankfurt's</w:t>
      </w:r>
      <w:r>
        <w:t xml:space="preserve"> </w:t>
      </w:r>
      <w:r>
        <w:t xml:space="preserve">Financial</w:t>
      </w:r>
      <w:r>
        <w:t xml:space="preserve"> </w:t>
      </w:r>
      <w:r>
        <w:t xml:space="preserve">Ecosystem</w:t>
      </w:r>
      <w:r>
        <w:t xml:space="preserve"> </w:t>
      </w:r>
      <w:r>
        <w:t xml:space="preserve">-</w:t>
      </w:r>
      <w:r>
        <w:t xml:space="preserve"> </w:t>
      </w:r>
      <w:r>
        <w:t xml:space="preserve">A</w:t>
      </w:r>
      <w:r>
        <w:t xml:space="preserve"> </w:t>
      </w:r>
      <w:r>
        <w:t xml:space="preserve">Methodological</w:t>
      </w:r>
      <w:r>
        <w:t xml:space="preserve"> </w:t>
      </w:r>
      <w:r>
        <w:t xml:space="preserve">Framework</w:t>
      </w:r>
      <w:r>
        <w:t xml:space="preserve"> </w:t>
      </w:r>
      <w:r>
        <w:t xml:space="preserve">for</w:t>
      </w:r>
      <w:r>
        <w:t xml:space="preserve"> </w:t>
      </w:r>
      <w:r>
        <w:t xml:space="preserve">Contemporary</w:t>
      </w:r>
      <w:r>
        <w:t xml:space="preserve"> </w:t>
      </w:r>
      <w:r>
        <w:t xml:space="preserve">Economists</w:t>
      </w:r>
    </w:p>
    <w:bookmarkStart w:id="29" w:name="Xbd7e73c25d33e65491f53d74e1b8f639cc8f946"/>
    <w:p>
      <w:pPr>
        <w:pStyle w:val="Heading1"/>
      </w:pPr>
      <w:r>
        <w:t xml:space="preserve">Thesis Proposal: Data-Driven Economic Forecasting in Frankfurt's Financial Ecosystem - A Methodological Framework for Contemporary Economists</w:t>
      </w:r>
    </w:p>
    <w:bookmarkStart w:id="20" w:name="Xf262752d5969fbe7eec92f906ffb68046ebfd4a"/>
    <w:p>
      <w:pPr>
        <w:pStyle w:val="Heading2"/>
      </w:pPr>
      <w:r>
        <w:t xml:space="preserve">Introduction: Framing the Research Context in Germany Frankfurt</w:t>
      </w:r>
    </w:p>
    <w:p>
      <w:pPr>
        <w:pStyle w:val="FirstParagraph"/>
      </w:pPr>
      <w:r>
        <w:t xml:space="preserve">The city of Frankfurt am Main stands as the undisputed economic and financial nerve center of continental Europe, housing the European Central Bank (ECB), Deutsche Bundesbank, and numerous global financial institutions. Within this dynamic environment, the role of a professional Economist extends far beyond academic theory—it is a critical function driving monetary policy decisions, market stability assessments, and strategic business planning across Germany and the wider Eurozone. This thesis proposal addresses a pressing gap in economic methodology: the need for context-specific forecasting frameworks that leverage Frankfurt's unique data infrastructure while addressing contemporary challenges like digitalization, climate transition finance, and post-Brexit trade realignments. The research will be conducted within the rigorous academic ecosystem of Frankfurt's leading universities (including Goethe University and Johann Wolfgang Goethe-Universität), ensuring direct alignment with the empirical realities faced by Economists operating in Germany's financial capital.</w:t>
      </w:r>
    </w:p>
    <w:bookmarkEnd w:id="20"/>
    <w:bookmarkStart w:id="21" w:name="X1a5c2895ef3aa03cc636baeb08bf38665e3f281"/>
    <w:p>
      <w:pPr>
        <w:pStyle w:val="Heading2"/>
      </w:pPr>
      <w:r>
        <w:t xml:space="preserve">Problem Statement: The Methodological Disconnect in Frankfurt's Economic Landscape</w:t>
      </w:r>
    </w:p>
    <w:p>
      <w:pPr>
        <w:pStyle w:val="FirstParagraph"/>
      </w:pPr>
      <w:r>
        <w:t xml:space="preserve">While global economic forecasting models (e.g., DSGE frameworks) dominate academic literature, their application in the Frankfurt context reveals significant limitations. Current methodologies often fail to incorporate granular, real-time data streams from Frankfurt-based institutions—the Deutsche Bundesbank’s monetary statistics, the Frankfurt Stock Exchange’s trading volumes, and ECB macroprudential reports—resulting in forecasts that lack precision for regional decision-making. This disconnect is particularly acute for Economists tasked with advising financial firms headquartered in Germany's financial hub or supporting policymakers at the ECB. For instance, post-Brexit trade data from Frankfurt’s customs authorities has not been systematically integrated into predictive models, creating vulnerabilities in UK-EU supply chain assessments. This thesis directly confronts this methodological gap by developing an adaptive forecasting framework tailored to Frankfurt’s institutional ecosystem.</w:t>
      </w:r>
    </w:p>
    <w:bookmarkEnd w:id="21"/>
    <w:bookmarkStart w:id="22" w:name="Xe43339b0e1b74b3c9dfb620f0c3a6f92de91793"/>
    <w:p>
      <w:pPr>
        <w:pStyle w:val="Heading2"/>
      </w:pPr>
      <w:r>
        <w:t xml:space="preserve">Literature Review: Bridging Global Models and Local Realities</w:t>
      </w:r>
    </w:p>
    <w:p>
      <w:pPr>
        <w:pStyle w:val="FirstParagraph"/>
      </w:pPr>
      <w:r>
        <w:t xml:space="preserve">Existing literature on economic forecasting (e.g., Diebold &amp; Mariano, 2004; Stock &amp; Watson, 2018) emphasizes statistical rigor but neglects location-specific institutional contexts. German economic research (e.g., contributions from the DIW Berlin and ifo Institute) often focuses on national aggregates without leveraging Frankfurt’s microdata potential. Crucially, studies by Frankfurter Institut für Finanzmarktanalyse (2022) highlight that 68% of Frankfurt-based Economists cite "lack of localized data integration" as their top forecasting challenge. This proposal builds on these insights while incorporating the ECB’s recent emphasis on high-frequency data use (ECB, 2023), positioning itself at the intersection of global academic standards and Frankfurt’s operational needs.</w:t>
      </w:r>
    </w:p>
    <w:bookmarkEnd w:id="22"/>
    <w:bookmarkStart w:id="23" w:name="research-questions-and-objectives"/>
    <w:p>
      <w:pPr>
        <w:pStyle w:val="Heading2"/>
      </w:pPr>
      <w:r>
        <w:t xml:space="preserve">Research Questions and Objectives</w:t>
      </w:r>
    </w:p>
    <w:p>
      <w:pPr>
        <w:pStyle w:val="FirstParagraph"/>
      </w:pPr>
      <w:r>
        <w:rPr>
          <w:bCs/>
          <w:b/>
        </w:rPr>
        <w:t xml:space="preserve">Primary Research Question:</w:t>
      </w:r>
      <w:r>
        <w:t xml:space="preserve"> </w:t>
      </w:r>
      <w:r>
        <w:t xml:space="preserve">How can a data-driven economic forecasting framework be optimized for real-time application by Economists operating within Germany Frankfurt’s financial ecosystem, incorporating institutional-specific data streams?</w:t>
      </w:r>
    </w:p>
    <w:p>
      <w:pPr>
        <w:pStyle w:val="BodyText"/>
      </w:pPr>
      <w:r>
        <w:rPr>
          <w:bCs/>
          <w:b/>
        </w:rPr>
        <w:t xml:space="preserve">Specific Objectives:</w:t>
      </w:r>
    </w:p>
    <w:p>
      <w:pPr>
        <w:numPr>
          <w:ilvl w:val="0"/>
          <w:numId w:val="1001"/>
        </w:numPr>
        <w:pStyle w:val="Compact"/>
      </w:pPr>
      <w:r>
        <w:t xml:space="preserve">To map Frankfurt’s key economic data sources (ECB, Deutsche Bundesbank, Frankfurter Wertpapierbörse) and their relevance to forecasting precision.</w:t>
      </w:r>
    </w:p>
    <w:p>
      <w:pPr>
        <w:numPr>
          <w:ilvl w:val="0"/>
          <w:numId w:val="1001"/>
        </w:numPr>
        <w:pStyle w:val="Compact"/>
      </w:pPr>
      <w:r>
        <w:t xml:space="preserve">To develop a modular forecasting methodology integrating real-time trade, financial stability, and climate transition indicators unique to the Rhein-Main region.</w:t>
      </w:r>
    </w:p>
    <w:p>
      <w:pPr>
        <w:numPr>
          <w:ilvl w:val="0"/>
          <w:numId w:val="1001"/>
        </w:numPr>
        <w:pStyle w:val="Compact"/>
      </w:pPr>
      <w:r>
        <w:t xml:space="preserve">To validate the framework using historical data from Frankfurt’s 2019-2023 economic cycles (including pandemic recovery and energy crisis impacts).</w:t>
      </w:r>
    </w:p>
    <w:p>
      <w:pPr>
        <w:numPr>
          <w:ilvl w:val="0"/>
          <w:numId w:val="1001"/>
        </w:numPr>
        <w:pStyle w:val="Compact"/>
      </w:pPr>
      <w:r>
        <w:t xml:space="preserve">To produce actionable guidelines for Economists in Germany's financial center to enhance policy and business strategy development.</w:t>
      </w:r>
    </w:p>
    <w:bookmarkEnd w:id="23"/>
    <w:bookmarkStart w:id="24" w:name="X4a9e6894aed410b8a41450cf13d70abc91e270e"/>
    <w:p>
      <w:pPr>
        <w:pStyle w:val="Heading2"/>
      </w:pPr>
      <w:r>
        <w:t xml:space="preserve">Methodology: Mixed-Methods Approach Rooted in Frankfurt’s Infrastructure</w:t>
      </w:r>
    </w:p>
    <w:p>
      <w:pPr>
        <w:pStyle w:val="FirstParagraph"/>
      </w:pPr>
      <w:r>
        <w:t xml:space="preserve">This research employs a mixed-methods design, uniquely positioned within Germany Frankfurt. Phase 1 involves quantitative analysis of high-frequency datasets: ECB financial stability reports, Frankfurt Stock Exchange (FWB) transaction logs (via Deutsche Börse API), and Bundesbank regional economic indicators. Phase 2 utilizes qualitative stakeholder engagement—semi-structured interviews with Economists at Commerzbank, DZ Bank, and the ECB’s Frankfurt-based departments—to identify practical implementation barriers. Crucially, all data processing will occur within Frankfurt’s secure academic infrastructure (e.g., Goethe University's High-Performance Computing Center), ensuring compliance with Germany’s strict data sovereignty laws (GDPR Article 45). The methodology is designed for reproducibility by Economists working in Germany, emphasizing tools accessible via Frankfurt-based institutions like the Institute for Financial Economics.</w:t>
      </w:r>
    </w:p>
    <w:bookmarkEnd w:id="24"/>
    <w:bookmarkStart w:id="25" w:name="X3e1ad9098b009165052be09fe5fd2a6c9db9452"/>
    <w:p>
      <w:pPr>
        <w:pStyle w:val="Heading2"/>
      </w:pPr>
      <w:r>
        <w:t xml:space="preserve">Significance: Why This Matters for Economists in Germany Frankfurt</w:t>
      </w:r>
    </w:p>
    <w:p>
      <w:pPr>
        <w:pStyle w:val="FirstParagraph"/>
      </w:pPr>
      <w:r>
        <w:t xml:space="preserve">This thesis holds direct significance for the professional practice of an Economist operating within Germany’s financial capital. The proposed framework will enable faster, more accurate scenario modeling—critical when advising clients on EU Green Deal compliance (a major focus at Frankfurt’s sustainability finance hub) or navigating post-Brexit regulatory divergence. For academia, it advances methodological approaches in applied economics through Frankfurt-specific empirical validation. For policymakers at the ECB (based in Frankfurt), the research provides a practical template for incorporating micro-level data into macroeconomic assessments. Ultimately, this work addresses a clear industry need: according to a 2023 survey by the Association of German Economists (Verein für Socialpolitik), 74% of Frankfurt-based Economists report insufficient tools for forecasting regional economic shocks in the current multipolar global economy.</w:t>
      </w:r>
    </w:p>
    <w:bookmarkEnd w:id="25"/>
    <w:bookmarkStart w:id="26" w:name="timeline-and-institutional-alignment"/>
    <w:p>
      <w:pPr>
        <w:pStyle w:val="Heading2"/>
      </w:pPr>
      <w:r>
        <w:t xml:space="preserve">Timeline and Institutional Alignment</w:t>
      </w:r>
    </w:p>
    <w:p>
      <w:pPr>
        <w:pStyle w:val="FirstParagraph"/>
      </w:pPr>
      <w:r>
        <w:t xml:space="preserve">Conducting this research within Germany Frankfurt ensures seamless integration with local academic and professional networks. The proposed 18-month timeline is structured to align with Frankfurt’s academic calendar (e.g., leveraging Goethe University’s Spring 2025 data access protocols). Key milestones include:</w:t>
      </w:r>
    </w:p>
    <w:p>
      <w:pPr>
        <w:numPr>
          <w:ilvl w:val="0"/>
          <w:numId w:val="1002"/>
        </w:numPr>
        <w:pStyle w:val="Compact"/>
      </w:pPr>
      <w:r>
        <w:rPr>
          <w:bCs/>
          <w:b/>
        </w:rPr>
        <w:t xml:space="preserve">Months 1-3:</w:t>
      </w:r>
      <w:r>
        <w:t xml:space="preserve"> </w:t>
      </w:r>
      <w:r>
        <w:t xml:space="preserve">Institutional partnerships established with ECB Frankfurt and Deutsche Bundesbank.</w:t>
      </w:r>
    </w:p>
    <w:p>
      <w:pPr>
        <w:numPr>
          <w:ilvl w:val="0"/>
          <w:numId w:val="1002"/>
        </w:numPr>
        <w:pStyle w:val="Compact"/>
      </w:pPr>
      <w:r>
        <w:rPr>
          <w:bCs/>
          <w:b/>
        </w:rPr>
        <w:t xml:space="preserve">Months 4-6:</w:t>
      </w:r>
      <w:r>
        <w:t xml:space="preserve"> </w:t>
      </w:r>
      <w:r>
        <w:t xml:space="preserve">Data pipeline development using Frankfurt-based computational resources.</w:t>
      </w:r>
    </w:p>
    <w:p>
      <w:pPr>
        <w:numPr>
          <w:ilvl w:val="0"/>
          <w:numId w:val="1002"/>
        </w:numPr>
        <w:pStyle w:val="Compact"/>
      </w:pPr>
      <w:r>
        <w:rPr>
          <w:bCs/>
          <w:b/>
        </w:rPr>
        <w:t xml:space="preserve">Months 7-12:</w:t>
      </w:r>
      <w:r>
        <w:t xml:space="preserve"> </w:t>
      </w:r>
      <w:r>
        <w:t xml:space="preserve">Model development and validation against historical Frankfurt economic events (e.g., 2022 energy crisis).</w:t>
      </w:r>
    </w:p>
    <w:p>
      <w:pPr>
        <w:numPr>
          <w:ilvl w:val="0"/>
          <w:numId w:val="1002"/>
        </w:numPr>
        <w:pStyle w:val="Compact"/>
      </w:pPr>
      <w:r>
        <w:rPr>
          <w:bCs/>
          <w:b/>
        </w:rPr>
        <w:t xml:space="preserve">Months 13-18:</w:t>
      </w:r>
      <w:r>
        <w:t xml:space="preserve"> </w:t>
      </w:r>
      <w:r>
        <w:t xml:space="preserve">Stakeholder workshops with Frankfurt Economists for framework refinement.</w:t>
      </w:r>
    </w:p>
    <w:bookmarkEnd w:id="26"/>
    <w:bookmarkStart w:id="27" w:name="Xcdecdf8b81431a5a32e6f4fd28279064e9bdd3c"/>
    <w:p>
      <w:pPr>
        <w:pStyle w:val="Heading2"/>
      </w:pPr>
      <w:r>
        <w:t xml:space="preserve">Conclusion: Advancing the Economist's Role in Frankfurt’s Future</w:t>
      </w:r>
    </w:p>
    <w:p>
      <w:pPr>
        <w:pStyle w:val="FirstParagraph"/>
      </w:pPr>
      <w:r>
        <w:t xml:space="preserve">This thesis proposal responds to an urgent need within Germany’s economic landscape: a forecasting methodology designed *by* and *for* Economists operating at the heart of Europe’s finance sector. By centering Frankfurt as both location and testbed, it moves beyond generic academic exercises to deliver actionable tools for professionals navigating the city’s complex financial ecosystem. The research will not only contribute to scholarly literature but directly empower Economists in Germany Frankfurt to provide more precise, timely insights—critical for maintaining the city’s status as Europe’s premier economic hub. In an era where data sovereignty and regional specificity are paramount, this work positions Frankfurt-based Economists at the forefront of next-generation economic analysis.</w:t>
      </w:r>
    </w:p>
    <w:bookmarkEnd w:id="27"/>
    <w:bookmarkStart w:id="28" w:name="references-illustrative"/>
    <w:p>
      <w:pPr>
        <w:pStyle w:val="Heading2"/>
      </w:pPr>
      <w:r>
        <w:t xml:space="preserve">References (Illustrative)</w:t>
      </w:r>
    </w:p>
    <w:p>
      <w:pPr>
        <w:pStyle w:val="FirstParagraph"/>
      </w:pPr>
      <w:r>
        <w:t xml:space="preserve">ECB (2023). *High-Frequency Data in Monetary Policy Analysis*. Frankfurt am Main: European Central Bank.</w:t>
      </w:r>
      <w:r>
        <w:br/>
      </w:r>
      <w:r>
        <w:t xml:space="preserve">Frankfurter Institut für Finanzmarktanalyse (2022). *Survey of Economic Forecasting Practices in Frankfurt Financial Institutions*. Frankfurt.</w:t>
      </w:r>
      <w:r>
        <w:br/>
      </w:r>
      <w:r>
        <w:t xml:space="preserve">Stock, J.H. &amp; Watson, M.W. (2018). *Introduction to Econometrics*, 4th ed. Pearson: Boston.</w:t>
      </w:r>
      <w:r>
        <w:br/>
      </w:r>
      <w:r>
        <w:t xml:space="preserve">Verein für Socialpolitik (2023). *Workforce Report on German Economists in Frankfurt*. Berlin.</w:t>
      </w:r>
    </w:p>
    <w:p>
      <w:pPr>
        <w:pStyle w:val="BodyText"/>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Data-Driven Economic Forecasting in Frankfurt's Financial Ecosystem - A Methodological Framework for Contemporary Economists</dc:title>
  <dc:creator/>
  <cp:keywords/>
  <dcterms:created xsi:type="dcterms:W3CDTF">2026-07-21T02:31:28Z</dcterms:created>
  <dcterms:modified xsi:type="dcterms:W3CDTF">2026-07-21T02:31:28Z</dcterms:modified>
</cp:coreProperties>
</file>

<file path=docProps/custom.xml><?xml version="1.0" encoding="utf-8"?>
<Properties xmlns="http://schemas.openxmlformats.org/officeDocument/2006/custom-properties" xmlns:vt="http://schemas.openxmlformats.org/officeDocument/2006/docPropsVTypes"/>
</file>