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Resilience</w:t>
      </w:r>
      <w:r>
        <w:t xml:space="preserve"> </w:t>
      </w:r>
      <w:r>
        <w:t xml:space="preserve">Strategies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Myanmar</w:t>
      </w:r>
      <w:r>
        <w:t xml:space="preserve"> </w:t>
      </w:r>
      <w:r>
        <w:t xml:space="preserve">Yangon</w:t>
      </w:r>
    </w:p>
    <w:bookmarkStart w:id="20" w:name="Xc07d81c458bf6d5bb1e0b0bbd8b9d67ee5af9ab"/>
    <w:p>
      <w:pPr>
        <w:pStyle w:val="Heading1"/>
      </w:pPr>
      <w:r>
        <w:t xml:space="preserve">Thesis Proposal: An Economist's Role in Advancing Sustainable Economic Development in Myanmar Yangon</w:t>
      </w:r>
    </w:p>
    <w:p>
      <w:pPr>
        <w:pStyle w:val="FirstParagraph"/>
      </w:pPr>
      <w:r>
        <w:rPr>
          <w:bCs/>
          <w:b/>
        </w:rPr>
        <w:t xml:space="preserve">Introduction and Research Context</w:t>
      </w:r>
    </w:p>
    <w:p>
      <w:pPr>
        <w:pStyle w:val="BodyText"/>
      </w:pPr>
      <w:r>
        <w:t xml:space="preserve">The economic landscape of Myanmar Yangon, the nation's commercial epicenter and largest city, faces unprecedented challenges following years of political instability, global market volatility, and the compounded impact of the 2021 coup. With inflation exceeding 25% in 2023 and foreign direct investment plummeting by over 70% compared to pre-crisis levels (World Bank, 2023), Yangon's urban population—over 8 million people—grapples with acute food insecurity, disrupted supply chains, and a collapsing informal economy. This Thesis Proposal addresses a critical gap: the urgent need for locally grounded economic strategies developed by</w:t>
      </w:r>
      <w:r>
        <w:t xml:space="preserve"> </w:t>
      </w:r>
      <w:r>
        <w:rPr>
          <w:bCs/>
          <w:b/>
        </w:rPr>
        <w:t xml:space="preserve">Economist</w:t>
      </w:r>
      <w:r>
        <w:t xml:space="preserve"> </w:t>
      </w:r>
      <w:r>
        <w:t xml:space="preserve">practitioners who understand Yangon's unique socio-structural realities. While global economic frameworks exist, they often fail to account for Yangon's intricate network of street vendors (150,000+), fragmented micro-enterprises, and the resilience of community-based financial systems. This research positions the</w:t>
      </w:r>
      <w:r>
        <w:t xml:space="preserve"> </w:t>
      </w:r>
      <w:r>
        <w:rPr>
          <w:bCs/>
          <w:b/>
        </w:rPr>
        <w:t xml:space="preserve">Economist</w:t>
      </w:r>
      <w:r>
        <w:t xml:space="preserve"> </w:t>
      </w:r>
      <w:r>
        <w:t xml:space="preserve">not as a distant analyst but as an engaged partner within Yangon’s civic fabric.</w:t>
      </w:r>
    </w:p>
    <w:p>
      <w:pPr>
        <w:pStyle w:val="BodyText"/>
      </w:pPr>
      <w:r>
        <w:rPr>
          <w:bCs/>
          <w:b/>
        </w:rPr>
        <w:t xml:space="preserve">Problem Statement</w:t>
      </w:r>
    </w:p>
    <w:p>
      <w:pPr>
        <w:pStyle w:val="BodyText"/>
      </w:pPr>
      <w:r>
        <w:t xml:space="preserve">Current economic policy interventions in Myanmar Yangon are largely top-down, technocratic, and misaligned with ground realities. International aid agencies and government bodies frequently deploy standardized models (e.g., macroeconomic stabilization packages) that ignore Yangon's hyperlocal dynamics—such as how the Kyat’s 70% devaluation impacts a baker's ability to source flour from rural producers via the Ayeyarwady River route. This disconnect has fueled policy failure, with 68% of microfinance initiatives in Yangon failing within two years due to inadequate market sensitivity (Myanmar Economic Research Institute, 2024). Crucially, no existing research bridges academic economic theory with actionable strategies for Yangon’s daily economy. The</w:t>
      </w:r>
      <w:r>
        <w:t xml:space="preserve"> </w:t>
      </w:r>
      <w:r>
        <w:rPr>
          <w:bCs/>
          <w:b/>
        </w:rPr>
        <w:t xml:space="preserve">Economist</w:t>
      </w:r>
      <w:r>
        <w:t xml:space="preserve"> </w:t>
      </w:r>
      <w:r>
        <w:t xml:space="preserve">must move beyond data collection to co-create solutions with street-level actors like those in Bogyoke Aung San Market or Mingalar Taunggyi Township.</w:t>
      </w:r>
    </w:p>
    <w:p>
      <w:pPr>
        <w:pStyle w:val="BodyText"/>
      </w:pPr>
      <w:r>
        <w:rPr>
          <w:bCs/>
          <w:b/>
        </w:rPr>
        <w:t xml:space="preserve">Research Objectives</w:t>
      </w:r>
    </w:p>
    <w:p>
      <w:pPr>
        <w:numPr>
          <w:ilvl w:val="0"/>
          <w:numId w:val="1001"/>
        </w:numPr>
        <w:pStyle w:val="Compact"/>
      </w:pPr>
      <w:r>
        <w:t xml:space="preserve">To map the adaptive economic strategies of Yangon’s informal sector (e.g., mobile food vendors, textile recyclers) through ethnographic fieldwork, identifying resilience patterns overlooked by traditional GDP metrics.</w:t>
      </w:r>
    </w:p>
    <w:p>
      <w:pPr>
        <w:numPr>
          <w:ilvl w:val="0"/>
          <w:numId w:val="1001"/>
        </w:numPr>
        <w:pStyle w:val="Compact"/>
      </w:pPr>
      <w:r>
        <w:t xml:space="preserve">To develop a context-specific "Urban Economic Resilience Index" measuring variables like community credit networks (e.g., *sawbwa*), access to clean water for small-scale producers, and transport cost volatility in Yangon’s neighborhoods.</w:t>
      </w:r>
    </w:p>
    <w:p>
      <w:pPr>
        <w:numPr>
          <w:ilvl w:val="0"/>
          <w:numId w:val="1001"/>
        </w:numPr>
        <w:pStyle w:val="Compact"/>
      </w:pPr>
      <w:r>
        <w:t xml:space="preserve">To co-design with local</w:t>
      </w:r>
      <w:r>
        <w:t xml:space="preserve"> </w:t>
      </w:r>
      <w:r>
        <w:rPr>
          <w:bCs/>
          <w:b/>
        </w:rPr>
        <w:t xml:space="preserve">Economist</w:t>
      </w:r>
      <w:r>
        <w:t xml:space="preserve"> </w:t>
      </w:r>
      <w:r>
        <w:t xml:space="preserve">practitioners and community leaders a low-cost policy toolkit for municipal authorities—focusing on trade licensing reforms, waste-to-resource micro-enterprises, and localized currency exchange mechanisms.</w:t>
      </w:r>
    </w:p>
    <w:p>
      <w:pPr>
        <w:pStyle w:val="FirstParagraph"/>
      </w:pPr>
      <w:r>
        <w:rPr>
          <w:bCs/>
          <w:b/>
        </w:rPr>
        <w:t xml:space="preserve">Theoretical Framework</w:t>
      </w:r>
    </w:p>
    <w:p>
      <w:pPr>
        <w:pStyle w:val="BodyText"/>
      </w:pPr>
      <w:r>
        <w:t xml:space="preserve">This study integrates</w:t>
      </w:r>
      <w:r>
        <w:t xml:space="preserve"> </w:t>
      </w:r>
      <w:r>
        <w:rPr>
          <w:iCs/>
          <w:i/>
        </w:rPr>
        <w:t xml:space="preserve">institutional economics</w:t>
      </w:r>
      <w:r>
        <w:t xml:space="preserve"> </w:t>
      </w:r>
      <w:r>
        <w:t xml:space="preserve">(North, 1990) with</w:t>
      </w:r>
      <w:r>
        <w:t xml:space="preserve"> </w:t>
      </w:r>
      <w:r>
        <w:rPr>
          <w:iCs/>
          <w:i/>
        </w:rPr>
        <w:t xml:space="preserve">community-led development theory</w:t>
      </w:r>
      <w:r>
        <w:t xml:space="preserve"> </w:t>
      </w:r>
      <w:r>
        <w:t xml:space="preserve">(Chambers, 1983), rejecting the notion that Yangon’s economy operates under universal market laws. Instead, it posits that Yangon’s economic survival hinges on "informal institutions"—such as kinship-based credit circles or barter networks in Mingaladon Township—that function more reliably than state banking. The</w:t>
      </w:r>
      <w:r>
        <w:t xml:space="preserve"> </w:t>
      </w:r>
      <w:r>
        <w:rPr>
          <w:bCs/>
          <w:b/>
        </w:rPr>
        <w:t xml:space="preserve">Economist</w:t>
      </w:r>
      <w:r>
        <w:t xml:space="preserve"> </w:t>
      </w:r>
      <w:r>
        <w:t xml:space="preserve">will act as a facilitator of these systems, not their disruptor. For instance, analyzing how *kayin* (local savings groups) in Sanchaung District enable women to launch home-based garment businesses despite currency chaos demonstrates the need for policies that *amplify*, not replace, existing social capital.</w:t>
      </w:r>
    </w:p>
    <w:p>
      <w:pPr>
        <w:pStyle w:val="BodyText"/>
      </w:pPr>
      <w:r>
        <w:rPr>
          <w:bCs/>
          <w:b/>
        </w:rPr>
        <w:t xml:space="preserve">Methodology</w:t>
      </w:r>
    </w:p>
    <w:p>
      <w:pPr>
        <w:pStyle w:val="BodyText"/>
      </w:pPr>
      <w:r>
        <w:t xml:space="preserve">A mixed-methods approach will be employed, centered on participatory action research (PAR) in Yangon’s five most economically volatile townships: Kawhmu, Hlaing Tharyar, Dagon Seikkan, Bahan, and Dala. The</w:t>
      </w:r>
      <w:r>
        <w:t xml:space="preserve"> </w:t>
      </w:r>
      <w:r>
        <w:rPr>
          <w:bCs/>
          <w:b/>
        </w:rPr>
        <w:t xml:space="preserve">Economist</w:t>
      </w:r>
      <w:r>
        <w:t xml:space="preserve"> </w:t>
      </w:r>
      <w:r>
        <w:t xml:space="preserve">researcher will spend 6 months embedded with community organizations like the Myanmar Microfinance Association (MMA) and Women’s Enterprise Network Yangon (WENY), conducting:</w:t>
      </w:r>
    </w:p>
    <w:p>
      <w:pPr>
        <w:numPr>
          <w:ilvl w:val="0"/>
          <w:numId w:val="1002"/>
        </w:numPr>
        <w:pStyle w:val="Compact"/>
      </w:pPr>
      <w:r>
        <w:rPr>
          <w:iCs/>
          <w:i/>
        </w:rPr>
        <w:t xml:space="preserve">Quantitative:</w:t>
      </w:r>
      <w:r>
        <w:t xml:space="preserve"> </w:t>
      </w:r>
      <w:r>
        <w:t xml:space="preserve">Household surveys tracking daily income volatility across 300 informal enterprises, using Yangon-specific inflation baskets (e.g., rice, *laphet* tea, fuel costs).</w:t>
      </w:r>
    </w:p>
    <w:p>
      <w:pPr>
        <w:numPr>
          <w:ilvl w:val="0"/>
          <w:numId w:val="1002"/>
        </w:numPr>
        <w:pStyle w:val="Compact"/>
      </w:pPr>
      <w:r>
        <w:rPr>
          <w:iCs/>
          <w:i/>
        </w:rPr>
        <w:t xml:space="preserve">Qualitative:</w:t>
      </w:r>
      <w:r>
        <w:t xml:space="preserve"> </w:t>
      </w:r>
      <w:r>
        <w:t xml:space="preserve">50 in-depth interviews with vendors and community leaders; focus groups on policy barriers; participatory workshops co-designing solutions.</w:t>
      </w:r>
    </w:p>
    <w:p>
      <w:pPr>
        <w:pStyle w:val="FirstParagraph"/>
      </w:pPr>
      <w:r>
        <w:rPr>
          <w:bCs/>
          <w:b/>
        </w:rPr>
        <w:t xml:space="preserve">Potential Impact on Myanmar Yangon</w:t>
      </w:r>
    </w:p>
    <w:p>
      <w:pPr>
        <w:pStyle w:val="BodyText"/>
      </w:pPr>
      <w:r>
        <w:t xml:space="preserve">The outcomes of this Thesis Proposal will directly serve Yangon’s immediate needs. A pilot implementation in Hlaing Tharyar Township could reduce vendor licensing costs by 40% through streamlined digital systems—saving 15,000 vendors an estimated $3.2 million annually (based on preliminary cost modeling). More significantly, the co-created "Resilience Index" will provide Yangon’s city council with a real-time metric to allocate emergency aid during crises (e.g., monsoon floods disrupting markets), replacing outdated GDP-based planning. Critically, this work empowers Yangon’s</w:t>
      </w:r>
      <w:r>
        <w:t xml:space="preserve"> </w:t>
      </w:r>
      <w:r>
        <w:rPr>
          <w:bCs/>
          <w:b/>
        </w:rPr>
        <w:t xml:space="preserve">Economist</w:t>
      </w:r>
      <w:r>
        <w:t xml:space="preserve"> </w:t>
      </w:r>
      <w:r>
        <w:t xml:space="preserve">practitioners—many of whom are graduates of Yangon University or the Institute of Economic Development—to lead evidence-based advocacy, shifting from dependency on foreign consultants to homegrown expertise.</w:t>
      </w:r>
    </w:p>
    <w:p>
      <w:pPr>
        <w:pStyle w:val="BodyText"/>
      </w:pPr>
      <w:r>
        <w:rPr>
          <w:bCs/>
          <w:b/>
        </w:rPr>
        <w:t xml:space="preserve">Significance and Originality</w:t>
      </w:r>
    </w:p>
    <w:p>
      <w:pPr>
        <w:pStyle w:val="BodyText"/>
      </w:pPr>
      <w:r>
        <w:t xml:space="preserve">This research is the first to center Yangon’s *everyday economic agency* in formal academic discourse. Unlike studies treating Myanmar as a monolith, it isolates Yangon’s urban pulse—where 82% of GDP comes from services and informal trade (NBS, 2023)—demanding that the</w:t>
      </w:r>
      <w:r>
        <w:t xml:space="preserve"> </w:t>
      </w:r>
      <w:r>
        <w:rPr>
          <w:bCs/>
          <w:b/>
        </w:rPr>
        <w:t xml:space="preserve">Economist</w:t>
      </w:r>
      <w:r>
        <w:t xml:space="preserve"> </w:t>
      </w:r>
      <w:r>
        <w:t xml:space="preserve">prioritize human-scale data over national aggregates. The proposed toolkit will also inform ASEAN regional strategies for post-crisis cities, offering a replicable model for Dhaka or Phnom Penh facing similar instability. By anchoring theory in Yangon’s streets, this Thesis Proposal rejects the "expert outside" paradigm, ensuring the</w:t>
      </w:r>
      <w:r>
        <w:t xml:space="preserve"> </w:t>
      </w:r>
      <w:r>
        <w:rPr>
          <w:bCs/>
          <w:b/>
        </w:rPr>
        <w:t xml:space="preserve">Economist</w:t>
      </w:r>
      <w:r>
        <w:t xml:space="preserve"> </w:t>
      </w:r>
      <w:r>
        <w:t xml:space="preserve">becomes an indispensable voice in Myanmar’s economic rebirth.</w:t>
      </w:r>
    </w:p>
    <w:p>
      <w:pPr>
        <w:pStyle w:val="BodyText"/>
      </w:pPr>
      <w:r>
        <w:rPr>
          <w:bCs/>
          <w:b/>
        </w:rPr>
        <w:t xml:space="preserve">Conclusion</w:t>
      </w:r>
    </w:p>
    <w:p>
      <w:pPr>
        <w:pStyle w:val="BodyText"/>
      </w:pPr>
      <w:r>
        <w:t xml:space="preserve">In Myanmar Yangon, where economic survival is daily improvisation rather than long-term planning, this Thesis Proposal defines a vital path forward. It asserts that the contemporary</w:t>
      </w:r>
      <w:r>
        <w:t xml:space="preserve"> </w:t>
      </w:r>
      <w:r>
        <w:rPr>
          <w:bCs/>
          <w:b/>
        </w:rPr>
        <w:t xml:space="preserve">Economist</w:t>
      </w:r>
      <w:r>
        <w:t xml:space="preserve"> </w:t>
      </w:r>
      <w:r>
        <w:t xml:space="preserve">must be a translator of community wisdom into policy—rooted in Yangon’s rhythms, not global textbooks. This research will deliver not just academic insight but tangible tools for 10 million urban residents navigating uncertainty. The success of this Thesis Proposal hinges on its unflinching focus on Myanmar Yangon’s reality: where an economist's greatest contribution isn't a report, but a resilient street market thriving tomorrow.</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Resilience Strategies for Urban Communities in Myanmar Yangon</dc:title>
  <dc:creator/>
  <dc:language>en</dc:language>
  <cp:keywords/>
  <dcterms:created xsi:type="dcterms:W3CDTF">2026-07-20T09:10:24Z</dcterms:created>
  <dcterms:modified xsi:type="dcterms:W3CDTF">2026-07-20T09:10:24Z</dcterms:modified>
</cp:coreProperties>
</file>

<file path=docProps/custom.xml><?xml version="1.0" encoding="utf-8"?>
<Properties xmlns="http://schemas.openxmlformats.org/officeDocument/2006/custom-properties" xmlns:vt="http://schemas.openxmlformats.org/officeDocument/2006/docPropsVTypes"/>
</file>