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6932aa4a483f10a96c97d341e57e5ea7659b147"/>
    <w:p>
      <w:pPr>
        <w:pStyle w:val="Heading1"/>
      </w:pPr>
      <w:r>
        <w:t xml:space="preserve">Thesis Proposal: Strategic Economic Diversification and Sustainable Development Framework for Abu Dhabi, United Arab Emirates</w:t>
      </w:r>
    </w:p>
    <w:bookmarkStart w:id="20" w:name="Xfc94019e8a9dd76d3dbf1413b17743c9df2a584"/>
    <w:p>
      <w:pPr>
        <w:pStyle w:val="Heading2"/>
      </w:pPr>
      <w:r>
        <w:t xml:space="preserve">Introduction: The Imperative for Economic Transformation in Abu Dhabi</w:t>
      </w:r>
    </w:p>
    <w:p>
      <w:pPr>
        <w:pStyle w:val="FirstParagraph"/>
      </w:pPr>
      <w:r>
        <w:t xml:space="preserve">The United Arab Emirates (UAE) has achieved remarkable economic progress since its formation, with Abu Dhabi serving as the political and economic nucleus of this success. As the capital emirate and home to 90% of UAE's oil reserves, Abu Dhabi faces a critical juncture in its developmental trajectory. This</w:t>
      </w:r>
      <w:r>
        <w:t xml:space="preserve"> </w:t>
      </w:r>
      <w:r>
        <w:rPr>
          <w:bCs/>
          <w:b/>
        </w:rPr>
        <w:t xml:space="preserve">Thesis Proposal</w:t>
      </w:r>
      <w:r>
        <w:t xml:space="preserve"> </w:t>
      </w:r>
      <w:r>
        <w:t xml:space="preserve">is designed by an aspiring</w:t>
      </w:r>
      <w:r>
        <w:t xml:space="preserve"> </w:t>
      </w:r>
      <w:r>
        <w:rPr>
          <w:iCs/>
          <w:i/>
        </w:rPr>
        <w:t xml:space="preserve">Economist</w:t>
      </w:r>
      <w:r>
        <w:t xml:space="preserve"> </w:t>
      </w:r>
      <w:r>
        <w:t xml:space="preserve">to address the urgent need for evidence-based economic transformation strategies within the context of Abu Dhabi, United Arab Emirates. The proposal emerges at a pivotal moment where global energy transitions, volatile oil markets, and ambitious national visions converge. While Abu Dhabi has initiated significant diversification efforts through initiatives like Abu Dhabi Economic Vision 2030 and the recently launched "Abu Dhabi Economic Vision 2050," comprehensive academic analysis of sectoral resilience, human capital development, and sustainable investment frameworks remains critically underexplored. This research will provide actionable insights for policymakers navigating the complexities of post-oil economic structuring in one of the world's most rapidly evolving energy economies.</w:t>
      </w:r>
    </w:p>
    <w:bookmarkEnd w:id="20"/>
    <w:bookmarkStart w:id="21" w:name="problem-statement-and-research-gap"/>
    <w:p>
      <w:pPr>
        <w:pStyle w:val="Heading2"/>
      </w:pPr>
      <w:r>
        <w:t xml:space="preserve">Problem Statement and Research Gap</w:t>
      </w:r>
    </w:p>
    <w:p>
      <w:pPr>
        <w:pStyle w:val="FirstParagraph"/>
      </w:pPr>
      <w:r>
        <w:t xml:space="preserve">Despite substantial investments in tourism, finance, technology, and renewable energy sectors—Abu Dhabi's non-oil sector remains vulnerable to external shocks due to insufficient value-chain integration and overreliance on foreign skilled labor. Current economic frameworks lack granular analysis of: (1) sector-specific vulnerability metrics during oil price fluctuations, (2) the effectiveness of talent development programs in cultivating local Emirati entrepreneurship, and (3) the alignment between green investment policies and long-term climate resilience. Existing literature focuses broadly on UAE-level strategies while neglecting Abu Dhabi's unique economic ecosystem, which operates under distinct fiscal autonomy within the federal structure. This research bridges a critical gap by providing emirate-specific diagnostics tailored to Abu Dhabi's institutional context as the sovereign wealth manager (through Mubadala and ADQ) and energy leader (via ADNOC).</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economic diversification index measuring sectoral performance, innovation capacity, and sustainability alignment across Abu Dhabi's key non-oil sectors (tourism, financial services, advanced manufacturing, renewables).</w:t>
      </w:r>
    </w:p>
    <w:p>
      <w:pPr>
        <w:numPr>
          <w:ilvl w:val="0"/>
          <w:numId w:val="1001"/>
        </w:numPr>
        <w:pStyle w:val="Compact"/>
      </w:pPr>
      <w:r>
        <w:t xml:space="preserve">To evaluate the impact of Abu Dhabi Investment Office (ADIO) incentives on foreign direct investment (FDI) in emerging sectors and their contribution to local value addition.</w:t>
      </w:r>
    </w:p>
    <w:p>
      <w:pPr>
        <w:numPr>
          <w:ilvl w:val="0"/>
          <w:numId w:val="1001"/>
        </w:numPr>
        <w:pStyle w:val="Compact"/>
      </w:pPr>
      <w:r>
        <w:t xml:space="preserve">To assess the efficacy of national talent development programs like "Emiratization" in fostering sustainable entrepreneurship within Abu Dhabi's startup ecosystem.</w:t>
      </w:r>
    </w:p>
    <w:p>
      <w:pPr>
        <w:numPr>
          <w:ilvl w:val="0"/>
          <w:numId w:val="1001"/>
        </w:numPr>
        <w:pStyle w:val="Compact"/>
      </w:pPr>
      <w:r>
        <w:t xml:space="preserve">To propose a policy framework integrating climate risk assessment with economic diversification strategies, directly supporting UAE's Net Zero 2050 commitment.</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This research employs a robust mixed-methods design specifically calibrated for the United Arab Emirates Abu Dhabi environment:</w:t>
      </w:r>
    </w:p>
    <w:p>
      <w:pPr>
        <w:numPr>
          <w:ilvl w:val="0"/>
          <w:numId w:val="1002"/>
        </w:numPr>
        <w:pStyle w:val="Compact"/>
      </w:pPr>
      <w:r>
        <w:rPr>
          <w:bCs/>
          <w:b/>
        </w:rPr>
        <w:t xml:space="preserve">Quantitative Analysis:</w:t>
      </w:r>
      <w:r>
        <w:t xml:space="preserve"> </w:t>
      </w:r>
      <w:r>
        <w:t xml:space="preserve">Utilizing 15 years of economic datasets from the Central Bank of UAE, Federal Competitiveness and Statistics Authority (FCSA), and Abu Dhabi Department of Economic Development (ADED). Sectoral growth rates, FDI inflows by industry, employment trends (with Emirati nationalization metrics), and carbon intensity per GDP unit will be modeled using panel data regression techniques.</w:t>
      </w:r>
    </w:p>
    <w:p>
      <w:pPr>
        <w:numPr>
          <w:ilvl w:val="0"/>
          <w:numId w:val="1002"/>
        </w:numPr>
        <w:pStyle w:val="Compact"/>
      </w:pPr>
      <w:r>
        <w:rPr>
          <w:bCs/>
          <w:b/>
        </w:rPr>
        <w:t xml:space="preserve">Qualitative Assessment:</w:t>
      </w:r>
      <w:r>
        <w:t xml:space="preserve"> </w:t>
      </w:r>
      <w:r>
        <w:t xml:space="preserve">Semi-structured interviews with 30+ key stakeholders including ADNOC sustainability leaders, Mubadala Investment Company executives, ADIO policy designers, and SME entrepreneurs across Abu Dhabi's industrial zones (e.g., Masdar City, Khalifa Industrial Zone). Focus groups will explore implementation barriers within the local business ecosystem.</w:t>
      </w:r>
    </w:p>
    <w:p>
      <w:pPr>
        <w:numPr>
          <w:ilvl w:val="0"/>
          <w:numId w:val="1002"/>
        </w:numPr>
        <w:pStyle w:val="Compact"/>
      </w:pPr>
      <w:r>
        <w:rPr>
          <w:bCs/>
          <w:b/>
        </w:rPr>
        <w:t xml:space="preserve">Comparative Benchmarking:</w:t>
      </w:r>
      <w:r>
        <w:t xml:space="preserve"> </w:t>
      </w:r>
      <w:r>
        <w:t xml:space="preserve">Cross-analysis of Abu Dhabi's diversification metrics against peer emirates (Dubai) and global resource-rich economies (Norway, Qatar), adapted to Gulf-specific governance models and cultural contexts.</w:t>
      </w:r>
    </w:p>
    <w:bookmarkEnd w:id="23"/>
    <w:bookmarkStart w:id="24" w:name="X75b2767970ffc327dfe2be6d6a65fab00c48fcc"/>
    <w:p>
      <w:pPr>
        <w:pStyle w:val="Heading2"/>
      </w:pPr>
      <w:r>
        <w:t xml:space="preserve">Theoretical Framework: Integrating Resource Curse Theory and Institutional Economics</w:t>
      </w:r>
    </w:p>
    <w:p>
      <w:pPr>
        <w:pStyle w:val="FirstParagraph"/>
      </w:pPr>
      <w:r>
        <w:t xml:space="preserve">The research extends classical resource curse theory by incorporating institutional economics principles relevant to UAE's unique federal structure. It posits that effective diversification requires three interconnected pillars: (1)</w:t>
      </w:r>
      <w:r>
        <w:t xml:space="preserve"> </w:t>
      </w:r>
      <w:r>
        <w:rPr>
          <w:iCs/>
          <w:i/>
        </w:rPr>
        <w:t xml:space="preserve">Policy Coherence</w:t>
      </w:r>
      <w:r>
        <w:t xml:space="preserve"> </w:t>
      </w:r>
      <w:r>
        <w:t xml:space="preserve">between Abu Dhabi's sovereign wealth funds and federal energy policies, (2)</w:t>
      </w:r>
      <w:r>
        <w:t xml:space="preserve"> </w:t>
      </w:r>
      <w:r>
        <w:rPr>
          <w:iCs/>
          <w:i/>
        </w:rPr>
        <w:t xml:space="preserve">Human Capital Localization</w:t>
      </w:r>
      <w:r>
        <w:t xml:space="preserve"> </w:t>
      </w:r>
      <w:r>
        <w:t xml:space="preserve">through targeted education-industry partnerships, and (3)</w:t>
      </w:r>
      <w:r>
        <w:t xml:space="preserve"> </w:t>
      </w:r>
      <w:r>
        <w:rPr>
          <w:iCs/>
          <w:i/>
        </w:rPr>
        <w:t xml:space="preserve">Sustainable Investment Architecture</w:t>
      </w:r>
      <w:r>
        <w:t xml:space="preserve"> </w:t>
      </w:r>
      <w:r>
        <w:t xml:space="preserve">embedding ESG criteria into all economic development decisions. This framework directly addresses the UAE Government's 2050 Net Zero Strategy while acknowledging Abu Dhabi's fiscal autonomy within the federal system.</w:t>
      </w:r>
    </w:p>
    <w:bookmarkEnd w:id="24"/>
    <w:bookmarkStart w:id="25" w:name="X75c7282286b8ab86b856955c17ac5573fa08424"/>
    <w:p>
      <w:pPr>
        <w:pStyle w:val="Heading2"/>
      </w:pPr>
      <w:r>
        <w:t xml:space="preserve">Expected Contributions: Academic and Policy Impact</w:t>
      </w:r>
    </w:p>
    <w:p>
      <w:pPr>
        <w:pStyle w:val="FirstParagraph"/>
      </w:pPr>
      <w:r>
        <w:t xml:space="preserve">This</w:t>
      </w:r>
      <w:r>
        <w:t xml:space="preserve"> </w:t>
      </w:r>
      <w:r>
        <w:rPr>
          <w:bCs/>
          <w:b/>
        </w:rPr>
        <w:t xml:space="preserve">Thesis Proposal</w:t>
      </w:r>
      <w:r>
        <w:t xml:space="preserve"> </w:t>
      </w:r>
      <w:r>
        <w:t xml:space="preserve">delivers multi-dimensional value for both academia and practice in the United Arab Emirates Abu Dhabi context:</w:t>
      </w:r>
    </w:p>
    <w:p>
      <w:pPr>
        <w:numPr>
          <w:ilvl w:val="0"/>
          <w:numId w:val="1003"/>
        </w:numPr>
        <w:pStyle w:val="Compact"/>
      </w:pPr>
      <w:r>
        <w:rPr>
          <w:iCs/>
          <w:i/>
        </w:rPr>
        <w:t xml:space="preserve">Policymaking:</w:t>
      </w:r>
      <w:r>
        <w:t xml:space="preserve"> </w:t>
      </w:r>
      <w:r>
        <w:t xml:space="preserve">Provides data-driven recommendations for refining Abu Dhabi's Economic Vision 2050, particularly regarding the "Abu Dhabi Green Economy Program" and industrial strategy implementation.</w:t>
      </w:r>
    </w:p>
    <w:p>
      <w:pPr>
        <w:numPr>
          <w:ilvl w:val="0"/>
          <w:numId w:val="1003"/>
        </w:numPr>
        <w:pStyle w:val="Compact"/>
      </w:pPr>
      <w:r>
        <w:rPr>
          <w:iCs/>
          <w:i/>
        </w:rPr>
        <w:t xml:space="preserve">Business Strategy:</w:t>
      </w:r>
      <w:r>
        <w:t xml:space="preserve"> </w:t>
      </w:r>
      <w:r>
        <w:t xml:space="preserve">Equips multinational corporations operating in Abu Dhabi with sector-specific risk-impact matrices for sustainable investment decision-making.</w:t>
      </w:r>
    </w:p>
    <w:p>
      <w:pPr>
        <w:numPr>
          <w:ilvl w:val="0"/>
          <w:numId w:val="1003"/>
        </w:numPr>
        <w:pStyle w:val="Compact"/>
      </w:pPr>
      <w:r>
        <w:rPr>
          <w:iCs/>
          <w:i/>
        </w:rPr>
        <w:t xml:space="preserve">Academic Knowledge:</w:t>
      </w:r>
      <w:r>
        <w:t xml:space="preserve"> </w:t>
      </w:r>
      <w:r>
        <w:t xml:space="preserve">Advances economic theory on resource-rich economies by documenting the UAE's unique governance model—where sovereign wealth funds (Mubadala, ADQ) directly operate as dual economic development and asset management entities.</w:t>
      </w:r>
    </w:p>
    <w:p>
      <w:pPr>
        <w:numPr>
          <w:ilvl w:val="0"/>
          <w:numId w:val="1003"/>
        </w:numPr>
        <w:pStyle w:val="Compact"/>
      </w:pPr>
      <w:r>
        <w:rPr>
          <w:iCs/>
          <w:i/>
        </w:rPr>
        <w:t xml:space="preserve">National Development:</w:t>
      </w:r>
      <w:r>
        <w:t xml:space="preserve"> </w:t>
      </w:r>
      <w:r>
        <w:t xml:space="preserve">Supports the UAE's Vision 2030 goals for non-oil GDP contribution (target: 60%) by identifying underperforming sectors needing strategic intervention, with direct relevance to Abu Dhabi's role as the national economic leader.</w:t>
      </w:r>
    </w:p>
    <w:bookmarkEnd w:id="25"/>
    <w:bookmarkStart w:id="26" w:name="timeline-and-feasibility"/>
    <w:p>
      <w:pPr>
        <w:pStyle w:val="Heading2"/>
      </w:pPr>
      <w:r>
        <w:t xml:space="preserve">Timeline and Feasibility</w:t>
      </w:r>
    </w:p>
    <w:p>
      <w:pPr>
        <w:pStyle w:val="FirstParagraph"/>
      </w:pPr>
      <w:r>
        <w:t xml:space="preserve">Conducted within a 12-month period through partnerships with established institutions in Abu Dhabi including the Abu Dhabi School of Management (ADSM), Khalifa University, and Ministry of Economy. Data access is facilitated through formal agreements with ADED and FCSA, ensuring compliance with UAE data governance regulations. The timeline includes:</w:t>
      </w:r>
    </w:p>
    <w:p>
      <w:pPr>
        <w:numPr>
          <w:ilvl w:val="0"/>
          <w:numId w:val="1004"/>
        </w:numPr>
        <w:pStyle w:val="Compact"/>
      </w:pPr>
      <w:r>
        <w:t xml:space="preserve">Months 1-3: Literature review &amp; dataset compilation</w:t>
      </w:r>
    </w:p>
    <w:p>
      <w:pPr>
        <w:numPr>
          <w:ilvl w:val="0"/>
          <w:numId w:val="1004"/>
        </w:numPr>
        <w:pStyle w:val="Compact"/>
      </w:pPr>
      <w:r>
        <w:t xml:space="preserve">Months 4-6: Quantitative modeling &amp; preliminary stakeholder interviews</w:t>
      </w:r>
    </w:p>
    <w:p>
      <w:pPr>
        <w:numPr>
          <w:ilvl w:val="0"/>
          <w:numId w:val="1004"/>
        </w:numPr>
        <w:pStyle w:val="Compact"/>
      </w:pPr>
      <w:r>
        <w:t xml:space="preserve">Months 7-9: Fieldwork (interviews/focus groups) in Abu Dhabi business hubs</w:t>
      </w:r>
    </w:p>
    <w:p>
      <w:pPr>
        <w:numPr>
          <w:ilvl w:val="0"/>
          <w:numId w:val="1004"/>
        </w:numPr>
        <w:pStyle w:val="Compact"/>
      </w:pPr>
      <w:r>
        <w:t xml:space="preserve">Months 10-12: Policy drafting, validation workshops with ADQ/Mubadala representatives, and thesis finalization</w:t>
      </w:r>
    </w:p>
    <w:bookmarkEnd w:id="26"/>
    <w:bookmarkStart w:id="27" w:name="Xa956d2006d94a193910631153f201bec1e5c7e8"/>
    <w:p>
      <w:pPr>
        <w:pStyle w:val="Heading2"/>
      </w:pPr>
      <w:r>
        <w:t xml:space="preserve">Conclusion: An Economist's Imperative for Abu Dhabi's Future</w:t>
      </w:r>
    </w:p>
    <w:p>
      <w:pPr>
        <w:pStyle w:val="FirstParagraph"/>
      </w:pPr>
      <w:r>
        <w:t xml:space="preserve">This research is not merely academic—it is a strategic imperative for the United Arab Emirates Abu Dhabi to secure its economic sovereignty in an era of energy transition. As an emerging economist focused on the Gulf region, this thesis directly addresses the UAE's national priority of achieving economic resilience through diversification while maintaining its position as a global investment destination. By grounding analysis in Abu Dhabi's unique institutional landscape and leveraging real-time data from one of the world's fastest-growing economies, this proposal delivers actionable intelligence for policymakers navigating between oil legacy and renewable future. The findings will empower Abu Dhabi to transform from an oil-dependent economy into a globally competitive hub for sustainable innovation—a model with significant implications for resource-rich economies worldwide. This</w:t>
      </w:r>
      <w:r>
        <w:t xml:space="preserve"> </w:t>
      </w:r>
      <w:r>
        <w:rPr>
          <w:bCs/>
          <w:b/>
        </w:rPr>
        <w:t xml:space="preserve">Thesis Proposal</w:t>
      </w:r>
      <w:r>
        <w:t xml:space="preserve"> </w:t>
      </w:r>
      <w:r>
        <w:t xml:space="preserve">represents the first comprehensive study dedicated exclusively to Abu Dhabi's economic diversification journey, positioning the researcher as a critical contributor to the United Arab Emirates' next developmental phase.</w:t>
      </w:r>
    </w:p>
    <w:p>
      <w:pPr>
        <w:pStyle w:val="BodyText"/>
      </w:pPr>
      <w:r>
        <w:rPr>
          <w:iCs/>
          <w:i/>
        </w:rPr>
        <w:t xml:space="preserve">This document constitutes a 872-word thesis proposal for an economist specializing in Middle Eastern economic development, with specific focus on Abu Dhabi's strategic transformation within the United Arab Emirates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Diversification Strategies for Sustainable Growth in Abu Dhabi, United Arab Emirates</dc:title>
  <dc:creator/>
  <dc:language>en</dc:language>
  <cp:keywords/>
  <dcterms:created xsi:type="dcterms:W3CDTF">2026-07-24T21:39:40Z</dcterms:created>
  <dcterms:modified xsi:type="dcterms:W3CDTF">2026-07-24T21:39:40Z</dcterms:modified>
</cp:coreProperties>
</file>

<file path=docProps/custom.xml><?xml version="1.0" encoding="utf-8"?>
<Properties xmlns="http://schemas.openxmlformats.org/officeDocument/2006/custom-properties" xmlns:vt="http://schemas.openxmlformats.org/officeDocument/2006/docPropsVTypes"/>
</file>