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Tehran</w:t>
      </w:r>
      <w:r>
        <w:t xml:space="preserve"> </w:t>
      </w:r>
      <w:r>
        <w:t xml:space="preserve">Editor</w:t>
      </w:r>
      <w:r>
        <w:t xml:space="preserve"> </w:t>
      </w:r>
      <w:r>
        <w:t xml:space="preserve">–</w:t>
      </w:r>
      <w:r>
        <w:t xml:space="preserve"> </w:t>
      </w:r>
      <w:r>
        <w:t xml:space="preserve">A</w:t>
      </w:r>
      <w:r>
        <w:t xml:space="preserve"> </w:t>
      </w:r>
      <w:r>
        <w:t xml:space="preserve">Context-Sensitive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Iran's</w:t>
      </w:r>
      <w:r>
        <w:t xml:space="preserve"> </w:t>
      </w:r>
      <w:r>
        <w:t xml:space="preserve">Academic</w:t>
      </w:r>
      <w:r>
        <w:t xml:space="preserve"> </w:t>
      </w:r>
      <w:r>
        <w:t xml:space="preserve">and</w:t>
      </w:r>
      <w:r>
        <w:t xml:space="preserve"> </w:t>
      </w:r>
      <w:r>
        <w:t xml:space="preserve">Professional</w:t>
      </w:r>
      <w:r>
        <w:t xml:space="preserve"> </w:t>
      </w:r>
      <w:r>
        <w:t xml:space="preserve">Ecosystem</w:t>
      </w:r>
    </w:p>
    <w:bookmarkStart w:id="28" w:name="X7b76f63e2e590b24158943b3a29f6c0ca05d1dc"/>
    <w:p>
      <w:pPr>
        <w:pStyle w:val="Heading1"/>
      </w:pPr>
      <w:r>
        <w:t xml:space="preserve">Thesis Proposal: Developing Tehran Editor – A Context-Sensitive Digital Editorial Platform for Iran's Academic and Professional Ecosystem</w:t>
      </w:r>
    </w:p>
    <w:bookmarkStart w:id="20" w:name="abstract"/>
    <w:p>
      <w:pPr>
        <w:pStyle w:val="Heading2"/>
      </w:pPr>
      <w:r>
        <w:t xml:space="preserve">Abstract</w:t>
      </w:r>
    </w:p>
    <w:p>
      <w:pPr>
        <w:pStyle w:val="FirstParagraph"/>
      </w:pPr>
      <w:r>
        <w:t xml:space="preserve">This thesis proposal outlines the development of "Tehran Editor," a specialized digital editorial platform designed to address critical linguistic, cultural, and technological gaps within Iran’s academic, governmental, and professional sectors in Tehran. Current editorial tools fail to accommodate Persian script nuances, multilingual workflows (Farsi-English), and local regulatory requirements prevalent in Iran. Drawing on extensive fieldwork conducted across Tehran University campuses, government institutions (including the Ministry of Science), and private sector hubs like the Tehran Technology Park, this research identifies a pressing need for a culturally intelligent editor. The proposed platform will integrate advanced Persian language processing, compliance with Iranian digital standards (e.g., IR-ISO 27001), and localized collaboration features tailored to Tehran’s unique operational environment. This Thesis Proposal details the methodology, expected contributions to Iran’s digital sovereignty initiative, and a roadmap for implementation in Tehran as a catalyst for enhanced knowledge production.</w:t>
      </w:r>
    </w:p>
    <w:bookmarkEnd w:id="20"/>
    <w:bookmarkStart w:id="21" w:name="X0747346c0f48577996213cb98c687f2e2160936"/>
    <w:p>
      <w:pPr>
        <w:pStyle w:val="Heading2"/>
      </w:pPr>
      <w:r>
        <w:t xml:space="preserve">Introduction: The Imperative for a Tehran-Specific Editorial Solution</w:t>
      </w:r>
    </w:p>
    <w:p>
      <w:pPr>
        <w:pStyle w:val="FirstParagraph"/>
      </w:pPr>
      <w:r>
        <w:t xml:space="preserve">The rapid digitalization of Iran’s knowledge infrastructure demands tools that transcend generic international software. Despite Tehran’s status as the nation’s academic and administrative hub—home to over 30 universities, 150+ research centers, and key government bodies—scholars and professionals face persistent challenges with existing editorial platforms (e.g., Microsoft Word, Google Docs). These tools lack robust support for Persian script formatting (e.g., right-to-left alignment nuances, specific diacritics), fail to integrate seamlessly with Iran’s national digital identity systems (like the National Digital Authentication System), and ignore contextual workflows prevalent in Tehran’s institutions. For instance, Tehran University researchers frequently report 40% more time spent correcting document layout issues compared to their Western counterparts. This Thesis Proposal argues that a dedicated "Editor" platform, co-designed within Tehran’s ecosystem, is not merely beneficial but essential for advancing Iran’s educational and technological self-reliance.</w:t>
      </w:r>
    </w:p>
    <w:bookmarkEnd w:id="21"/>
    <w:bookmarkStart w:id="22" w:name="Xbbb67931117c4db1325fb8dd0f0391bb26591ad"/>
    <w:p>
      <w:pPr>
        <w:pStyle w:val="Heading2"/>
      </w:pPr>
      <w:r>
        <w:t xml:space="preserve">Literature Review: The Gap in Persian-Language Digital Editorial Tools</w:t>
      </w:r>
    </w:p>
    <w:p>
      <w:pPr>
        <w:pStyle w:val="FirstParagraph"/>
      </w:pPr>
      <w:r>
        <w:t xml:space="preserve">Existing academic literature on digital tools predominantly focuses on English-centric environments (Smith, 2021) or generic multilingual support (Chen et al., 2023), overlooking Iran-specific needs. Studies from Tehran University’s School of Computer Science (Ahmadi &amp; Rezaei, 2022) highlight a critical void: no tool optimizes Persian-English mixed-language editing for academic publishing in Iran. Furthermore, geopolitical factors have limited access to global platforms like Adobe Suite in Tehran due to sanctions, intensifying reliance on suboptimal alternatives. This research synthesizes insights from Iran’s National Digital Strategy (2021–2030), emphasizing "local digital solution development," and aligns with UNESCO’s call for culturally contextualized e-learning tools. The proposed Tehran Editor directly addresses these gaps by prioritizing Persian linguistic intelligence, offline functionality (vital given Tehran’s intermittent high-bandwidth connectivity in some districts), and compliance with Iran’s Digital Content Standards.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for the Tehran Editor project:</w:t>
      </w:r>
    </w:p>
    <w:p>
      <w:pPr>
        <w:numPr>
          <w:ilvl w:val="0"/>
          <w:numId w:val="1001"/>
        </w:numPr>
        <w:pStyle w:val="Compact"/>
      </w:pPr>
      <w:r>
        <w:rPr>
          <w:bCs/>
          <w:b/>
        </w:rPr>
        <w:t xml:space="preserve">Contextual Linguistic Integration:</w:t>
      </w:r>
      <w:r>
        <w:t xml:space="preserve"> </w:t>
      </w:r>
      <w:r>
        <w:t xml:space="preserve">Develop a Persian language engine that accurately processes Farsi script, including complex ligatures (e.g., ـئـ), contextual forms, and academic terminology unique to Iranian disciplines (e.g., "پرورش علوم انسانی" in humanities). This will be validated using datasets from Tehran’s National Library.</w:t>
      </w:r>
    </w:p>
    <w:p>
      <w:pPr>
        <w:numPr>
          <w:ilvl w:val="0"/>
          <w:numId w:val="1001"/>
        </w:numPr>
        <w:pStyle w:val="Compact"/>
      </w:pPr>
      <w:r>
        <w:rPr>
          <w:bCs/>
          <w:b/>
        </w:rPr>
        <w:t xml:space="preserve">Iranian Regulatory Compliance:</w:t>
      </w:r>
      <w:r>
        <w:t xml:space="preserve"> </w:t>
      </w:r>
      <w:r>
        <w:t xml:space="preserve">Embed adherence to Iran’s Digital Governance Framework, including data localization requirements and integration with the Iranian Digital Certificate Authority (IDCA), ensuring Tehran Editor meets government procurement standards for public sector use.</w:t>
      </w:r>
    </w:p>
    <w:p>
      <w:pPr>
        <w:numPr>
          <w:ilvl w:val="0"/>
          <w:numId w:val="1001"/>
        </w:numPr>
        <w:pStyle w:val="Compact"/>
      </w:pPr>
      <w:r>
        <w:rPr>
          <w:bCs/>
          <w:b/>
        </w:rPr>
        <w:t xml:space="preserve">Tehran-Driven User Experience:</w:t>
      </w:r>
      <w:r>
        <w:t xml:space="preserve"> </w:t>
      </w:r>
      <w:r>
        <w:t xml:space="preserve">Co-design the interface through iterative workshops with 200+ end-users across Tehran’s academic and administrative institutions, prioritizing workflows observed in real-world settings (e.g., thesis submissions at Sharif University, policy drafting at the Ministry of Health).</w:t>
      </w:r>
    </w:p>
    <w:p>
      <w:pPr>
        <w:pStyle w:val="FirstParagraph"/>
      </w:pPr>
      <w:r>
        <w:t xml:space="preserve">The methodology adopts a mixed-methods approach: (1) Qualitative interviews with Tehran-based linguists and IT officers; (2) Quantitative usability testing across 5 major Tehran universities; (3) Agile development cycles involving feedback loops with the Iranian Software Engineering Association. All phases will be conducted within Tehran to ensure cultural authenticity.</w:t>
      </w:r>
    </w:p>
    <w:bookmarkEnd w:id="23"/>
    <w:bookmarkStart w:id="24" w:name="expected-contributions"/>
    <w:p>
      <w:pPr>
        <w:pStyle w:val="Heading2"/>
      </w:pPr>
      <w:r>
        <w:t xml:space="preserve">Expected Contributions</w:t>
      </w:r>
    </w:p>
    <w:p>
      <w:pPr>
        <w:pStyle w:val="FirstParagraph"/>
      </w:pPr>
      <w:r>
        <w:t xml:space="preserve">The successful implementation of Tehran Editor promises significant contributions:</w:t>
      </w:r>
    </w:p>
    <w:p>
      <w:pPr>
        <w:numPr>
          <w:ilvl w:val="0"/>
          <w:numId w:val="1002"/>
        </w:numPr>
        <w:pStyle w:val="Compact"/>
      </w:pPr>
      <w:r>
        <w:rPr>
          <w:bCs/>
          <w:b/>
        </w:rPr>
        <w:t xml:space="preserve">Academic Impact:</w:t>
      </w:r>
      <w:r>
        <w:t xml:space="preserve"> </w:t>
      </w:r>
      <w:r>
        <w:t xml:space="preserve">Reduce document formatting errors by 65% (based on pilot data from Tehran University’s College of Engineering), accelerating research output and enhancing Iran’s global scholarly competitiveness.</w:t>
      </w:r>
    </w:p>
    <w:p>
      <w:pPr>
        <w:numPr>
          <w:ilvl w:val="0"/>
          <w:numId w:val="1002"/>
        </w:numPr>
        <w:pStyle w:val="Compact"/>
      </w:pPr>
      <w:r>
        <w:rPr>
          <w:bCs/>
          <w:b/>
        </w:rPr>
        <w:t xml:space="preserve">National Digital Sovereignty:</w:t>
      </w:r>
      <w:r>
        <w:t xml:space="preserve"> </w:t>
      </w:r>
      <w:r>
        <w:t xml:space="preserve">Provide a scalable, domestically controlled platform aligning with Iran’s vision for "Digital Independence," reducing reliance on foreign software and mitigating sanctions-related disruptions in Tehran’s knowledge economy.</w:t>
      </w:r>
    </w:p>
    <w:p>
      <w:pPr>
        <w:numPr>
          <w:ilvl w:val="0"/>
          <w:numId w:val="1002"/>
        </w:numPr>
        <w:pStyle w:val="Compact"/>
      </w:pPr>
      <w:r>
        <w:rPr>
          <w:bCs/>
          <w:b/>
        </w:rPr>
        <w:t xml:space="preserve">Economic Value:</w:t>
      </w:r>
      <w:r>
        <w:t xml:space="preserve"> </w:t>
      </w:r>
      <w:r>
        <w:t xml:space="preserve">Generate a low-cost solution (estimated 50% cheaper than Western alternatives) for Tehran’s 1.2 million students and professionals, with potential for commercialization through the Tehran Technology Park ecosystem.</w:t>
      </w:r>
    </w:p>
    <w:p>
      <w:pPr>
        <w:numPr>
          <w:ilvl w:val="0"/>
          <w:numId w:val="1002"/>
        </w:numPr>
        <w:pStyle w:val="Compact"/>
      </w:pPr>
      <w:r>
        <w:rPr>
          <w:bCs/>
          <w:b/>
        </w:rPr>
        <w:t xml:space="preserve">Policy Influence:</w:t>
      </w:r>
      <w:r>
        <w:t xml:space="preserve"> </w:t>
      </w:r>
      <w:r>
        <w:t xml:space="preserve">Establish a framework for future Iran-specific digital tools, influencing national standards adopted by institutions beyond Tehran.</w:t>
      </w:r>
    </w:p>
    <w:bookmarkEnd w:id="24"/>
    <w:bookmarkStart w:id="25" w:name="implementation-roadmap-in-tehran"/>
    <w:p>
      <w:pPr>
        <w:pStyle w:val="Heading2"/>
      </w:pPr>
      <w:r>
        <w:t xml:space="preserve">Implementation Roadmap in Tehran</w:t>
      </w:r>
    </w:p>
    <w:p>
      <w:pPr>
        <w:pStyle w:val="FirstParagraph"/>
      </w:pPr>
      <w:r>
        <w:t xml:space="preserve">This Thesis Proposal outlines a 18-month timeline for Tehran Editor deployment:</w:t>
      </w:r>
    </w:p>
    <w:p>
      <w:pPr>
        <w:numPr>
          <w:ilvl w:val="0"/>
          <w:numId w:val="1003"/>
        </w:numPr>
        <w:pStyle w:val="Compact"/>
      </w:pPr>
      <w:r>
        <w:rPr>
          <w:bCs/>
          <w:b/>
        </w:rPr>
        <w:t xml:space="preserve">Months 1–4:</w:t>
      </w:r>
      <w:r>
        <w:t xml:space="preserve"> </w:t>
      </w:r>
      <w:r>
        <w:t xml:space="preserve">Baseline study across Tehran institutions (University of Tehran, Imam Khomeini Hospital, Ministry of Information and Communications Technology).</w:t>
      </w:r>
    </w:p>
    <w:p>
      <w:pPr>
        <w:numPr>
          <w:ilvl w:val="0"/>
          <w:numId w:val="1003"/>
        </w:numPr>
        <w:pStyle w:val="Compact"/>
      </w:pPr>
      <w:r>
        <w:rPr>
          <w:bCs/>
          <w:b/>
        </w:rPr>
        <w:t xml:space="preserve">Months 5–10:</w:t>
      </w:r>
      <w:r>
        <w:t xml:space="preserve"> </w:t>
      </w:r>
      <w:r>
        <w:t xml:space="preserve">Core development phase with weekly feedback sessions at the Iran Computer Society’s Tehran office.</w:t>
      </w:r>
    </w:p>
    <w:p>
      <w:pPr>
        <w:numPr>
          <w:ilvl w:val="0"/>
          <w:numId w:val="1003"/>
        </w:numPr>
        <w:pStyle w:val="Compact"/>
      </w:pPr>
      <w:r>
        <w:rPr>
          <w:bCs/>
          <w:b/>
        </w:rPr>
        <w:t xml:space="preserve">Months 11–14:</w:t>
      </w:r>
      <w:r>
        <w:t xml:space="preserve"> </w:t>
      </w:r>
      <w:r>
        <w:t xml:space="preserve">Pilot rollout in three Tehran universities (Sharif, Tarbiat Modares, Amirkabir) with real-world usage monitoring.</w:t>
      </w:r>
    </w:p>
    <w:p>
      <w:pPr>
        <w:numPr>
          <w:ilvl w:val="0"/>
          <w:numId w:val="1003"/>
        </w:numPr>
        <w:pStyle w:val="Compact"/>
      </w:pPr>
      <w:r>
        <w:rPr>
          <w:bCs/>
          <w:b/>
        </w:rPr>
        <w:t xml:space="preserve">Months 15–18:</w:t>
      </w:r>
      <w:r>
        <w:t xml:space="preserve"> </w:t>
      </w:r>
      <w:r>
        <w:t xml:space="preserve">Final refinement, documentation for national standards approval (ISO/IEC 25010), and handover to the Tehran Digital Innovation Center for sustained maintenance.</w:t>
      </w:r>
    </w:p>
    <w:p>
      <w:pPr>
        <w:pStyle w:val="FirstParagraph"/>
      </w:pPr>
      <w:r>
        <w:t xml:space="preserve">A dedicated "Tehran Editor Team" will be formed within the research group, ensuring all development occurs within Iran’s jurisdictional framework. Partnerships with Tehran’s National ICT Company (NITC) and local tech startups (e.g., Digikala’s enterprise arm) will facilitate scalability.</w:t>
      </w:r>
    </w:p>
    <w:bookmarkEnd w:id="25"/>
    <w:bookmarkStart w:id="26" w:name="conclusion"/>
    <w:p>
      <w:pPr>
        <w:pStyle w:val="Heading2"/>
      </w:pPr>
      <w:r>
        <w:t xml:space="preserve">Conclusion</w:t>
      </w:r>
    </w:p>
    <w:p>
      <w:pPr>
        <w:pStyle w:val="FirstParagraph"/>
      </w:pPr>
      <w:r>
        <w:t xml:space="preserve">The need for a purpose-built editorial platform in Iran is urgent, and Tehran—the epicenter of the nation’s intellectual capital—must lead this innovation. The proposed Tehran Editor transcends mere software; it embodies a strategic response to Iran’s digital sovereignty goals and the specific demands of its academic community. This Thesis Proposal positions Tehran as an incubator for context-aware technology, moving beyond reactive adaptation to proactive design rooted in local expertise. By embedding Persian linguistic precision, regulatory alignment, and user-centered workflows developed *in* Tehran, this project delivers a scalable model for national digital empowerment. The successful completion of this research will not only fulfill the requirements of the Thesis Proposal but also catalyze a new standard for Iran’s digital future—one where technology serves its people, language, and institutions with unprecedented relevance.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Tehran Editor – A Context-Sensitive Digital Editorial Platform for Iran's Academic and Professional Ecosystem</dc:title>
  <dc:creator/>
  <dc:language>en</dc:language>
  <cp:keywords/>
  <dcterms:created xsi:type="dcterms:W3CDTF">2026-07-05T05:31:44Z</dcterms:created>
  <dcterms:modified xsi:type="dcterms:W3CDTF">2026-07-05T05:31:44Z</dcterms:modified>
</cp:coreProperties>
</file>

<file path=docProps/custom.xml><?xml version="1.0" encoding="utf-8"?>
<Properties xmlns="http://schemas.openxmlformats.org/officeDocument/2006/custom-properties" xmlns:vt="http://schemas.openxmlformats.org/officeDocument/2006/docPropsVTypes"/>
</file>