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da4a40350c31f8ce2bfbfe75de19c0ed14b7aa"/>
    <w:p>
      <w:pPr>
        <w:pStyle w:val="Heading1"/>
      </w:pPr>
      <w:r>
        <w:t xml:space="preserve">Thesis Proposal: Developing a Context-Aware Editorial Platform for Multilingual Content Creation in Malaysia Kuala Lumpur</w:t>
      </w:r>
    </w:p>
    <w:bookmarkStart w:id="20" w:name="introduction-and-background"/>
    <w:p>
      <w:pPr>
        <w:pStyle w:val="Heading2"/>
      </w:pPr>
      <w:r>
        <w:t xml:space="preserve">1. Introduction and Background</w:t>
      </w:r>
    </w:p>
    <w:p>
      <w:pPr>
        <w:pStyle w:val="FirstParagraph"/>
      </w:pPr>
      <w:r>
        <w:t xml:space="preserve">The digital transformation of Malaysia, particularly in its economic hub Kuala Lumpur (KL), has accelerated the demand for high-quality, localized content across government portals, educational institutions, and small-to-medium enterprises (SMEs). However, existing editorial tools predominantly cater to monolingual English workflows or generic multilingual support lacking contextual awareness for Malaysia’s unique linguistic landscape. This thesis addresses a critical gap: the absence of an</w:t>
      </w:r>
      <w:r>
        <w:t xml:space="preserve"> </w:t>
      </w:r>
      <w:r>
        <w:rPr>
          <w:bCs/>
          <w:b/>
        </w:rPr>
        <w:t xml:space="preserve">Editor</w:t>
      </w:r>
      <w:r>
        <w:t xml:space="preserve"> </w:t>
      </w:r>
      <w:r>
        <w:t xml:space="preserve">specifically designed for Malaysia's tri-lingual environment (Malay, Mandarin, Tamil) and its socio-cultural nuances. As Kuala Lumpur emerges as Southeast Asia's burgeoning tech hub with over 75% of Malaysia's digital economy concentrated in the Klang Valley, there is an urgent need for a localized</w:t>
      </w:r>
      <w:r>
        <w:t xml:space="preserve"> </w:t>
      </w:r>
      <w:r>
        <w:rPr>
          <w:bCs/>
          <w:b/>
        </w:rPr>
        <w:t xml:space="preserve">Editor</w:t>
      </w:r>
      <w:r>
        <w:t xml:space="preserve"> </w:t>
      </w:r>
      <w:r>
        <w:t xml:space="preserve">that respects linguistic hierarchies (e.g., Bahasa Melayu as the national language), regional dialects, and industry-specific terminology. This proposal outlines a research framework to develop such a platform.</w:t>
      </w:r>
    </w:p>
    <w:bookmarkEnd w:id="20"/>
    <w:bookmarkStart w:id="21" w:name="problem-statement"/>
    <w:p>
      <w:pPr>
        <w:pStyle w:val="Heading2"/>
      </w:pPr>
      <w:r>
        <w:t xml:space="preserve">2. Problem Statement</w:t>
      </w:r>
    </w:p>
    <w:p>
      <w:pPr>
        <w:pStyle w:val="FirstParagraph"/>
      </w:pPr>
      <w:r>
        <w:t xml:space="preserve">In Malaysia Kuala Lumpur, content creators face significant challenges when using international editorial tools like Google Docs or Microsoft Word. These platforms fail to recognize Malay grammar structures (e.g., agglutinative verb conjugations), Tamil script variations (e.g., Malaysian Tamil vs. South Indian Tamil), and context-specific terms used in KL’s public services (e.g., "MRT" for Mass Rapid Transit, "KPI" for Key Performance Indicators in government reports). A 2023 MDEC (Malaysia Digital Economy Corporation) report revealed that 68% of KL-based SMEs struggle with inconsistent multilingual content, leading to miscommunication and reduced public trust. Current solutions like Grammarly lack Malaysian language datasets, while local tools are siloed and lack AI-driven contextual editing. This thesis posits that without a purpose-built</w:t>
      </w:r>
      <w:r>
        <w:t xml:space="preserve"> </w:t>
      </w:r>
      <w:r>
        <w:rPr>
          <w:bCs/>
          <w:b/>
        </w:rPr>
        <w:t xml:space="preserve">Editor</w:t>
      </w:r>
      <w:r>
        <w:t xml:space="preserve">, Malaysia’s digital inclusivity goals under the MyDigital 2025 roadmap will face significant obstacles in Kuala Lumpur's diverse communities.</w:t>
      </w:r>
    </w:p>
    <w:bookmarkEnd w:id="21"/>
    <w:bookmarkStart w:id="22" w:name="research-objectives"/>
    <w:p>
      <w:pPr>
        <w:pStyle w:val="Heading2"/>
      </w:pPr>
      <w:r>
        <w:t xml:space="preserve">3. Research Objectives</w:t>
      </w:r>
    </w:p>
    <w:p>
      <w:pPr>
        <w:numPr>
          <w:ilvl w:val="0"/>
          <w:numId w:val="1001"/>
        </w:numPr>
        <w:pStyle w:val="Compact"/>
      </w:pPr>
      <w:r>
        <w:t xml:space="preserve">To analyze linguistic patterns and terminology usage across Malay, Mandarin, and Tamil within Kuala Lumpur’s public and private sectors through field studies at KL-based institutions (e.g., Universiti Malaya, MRT Corporation, Petaling Jaya SME clusters).</w:t>
      </w:r>
    </w:p>
    <w:p>
      <w:pPr>
        <w:numPr>
          <w:ilvl w:val="0"/>
          <w:numId w:val="1001"/>
        </w:numPr>
        <w:pStyle w:val="Compact"/>
      </w:pPr>
      <w:r>
        <w:t xml:space="preserve">To design an AI-powered</w:t>
      </w:r>
      <w:r>
        <w:t xml:space="preserve"> </w:t>
      </w:r>
      <w:r>
        <w:rPr>
          <w:bCs/>
          <w:b/>
        </w:rPr>
        <w:t xml:space="preserve">Editor</w:t>
      </w:r>
      <w:r>
        <w:t xml:space="preserve"> </w:t>
      </w:r>
      <w:r>
        <w:t xml:space="preserve">prototype incorporating Malaysian language corpora with context-aware grammar correction, cultural nuance suggestions (e.g., formal vs. informal address in Malay), and automated localization for KL-specific contexts.</w:t>
      </w:r>
    </w:p>
    <w:p>
      <w:pPr>
        <w:numPr>
          <w:ilvl w:val="0"/>
          <w:numId w:val="1001"/>
        </w:numPr>
        <w:pStyle w:val="Compact"/>
      </w:pPr>
      <w:r>
        <w:t xml:space="preserve">To evaluate the platform’s efficacy through usability testing with 200+ content creators across KL, measuring reductions in translation errors, time-to-publish, and user satisfaction compared to existing tools.</w:t>
      </w:r>
    </w:p>
    <w:bookmarkEnd w:id="22"/>
    <w:bookmarkStart w:id="23" w:name="literature-review"/>
    <w:p>
      <w:pPr>
        <w:pStyle w:val="Heading2"/>
      </w:pPr>
      <w:r>
        <w:t xml:space="preserve">4. Literature Review</w:t>
      </w:r>
    </w:p>
    <w:p>
      <w:pPr>
        <w:pStyle w:val="FirstParagraph"/>
      </w:pPr>
      <w:r>
        <w:t xml:space="preserve">Existing research focuses on generic multilingual editing (e.g., Google Translate’s post-editing) but neglects Malaysia-specific needs. Studies by the National Language Department (DBP) highlight gaps in digital tools for Malay, while ASEAN language technology reports (ASEAN ICT Outlook 2023) note insufficient Tamil script support for Malaysian usage. Crucially, no prior work addresses the integration of KL’s unique urban context—such as naming conventions for places (e.g., "KL Sentral" vs. "Kuala Lumpur Sentral") or regulatory terms ("Suruhanjaya Syarikat Malaysia" vs. "Company Commission"). This thesis bridges this gap by merging computational linguistics with Malaysian sociolinguistic studies, ensuring the</w:t>
      </w:r>
      <w:r>
        <w:t xml:space="preserve"> </w:t>
      </w:r>
      <w:r>
        <w:rPr>
          <w:bCs/>
          <w:b/>
        </w:rPr>
        <w:t xml:space="preserve">Editor</w:t>
      </w:r>
      <w:r>
        <w:t xml:space="preserve"> </w:t>
      </w:r>
      <w:r>
        <w:t xml:space="preserve">operates within Malaysia’s cultural and administrative framework.</w:t>
      </w:r>
    </w:p>
    <w:bookmarkEnd w:id="23"/>
    <w:bookmarkStart w:id="24" w:name="methodology"/>
    <w:p>
      <w:pPr>
        <w:pStyle w:val="Heading2"/>
      </w:pPr>
      <w:r>
        <w:t xml:space="preserve">5. Methodology</w:t>
      </w:r>
    </w:p>
    <w:p>
      <w:pPr>
        <w:pStyle w:val="FirstParagraph"/>
      </w:pPr>
      <w:r>
        <w:t xml:space="preserve">The research adopts a mixed-methods approach grounded in Kuala Lumpur’s ecosystem:</w:t>
      </w:r>
    </w:p>
    <w:p>
      <w:pPr>
        <w:numPr>
          <w:ilvl w:val="0"/>
          <w:numId w:val="1002"/>
        </w:numPr>
        <w:pStyle w:val="Compact"/>
      </w:pPr>
      <w:r>
        <w:rPr>
          <w:bCs/>
          <w:b/>
        </w:rPr>
        <w:t xml:space="preserve">Data Collection:</w:t>
      </w:r>
      <w:r>
        <w:t xml:space="preserve"> </w:t>
      </w:r>
      <w:r>
        <w:t xml:space="preserve">Collaborate with KL institutions to gather 5,000+ annotated content samples (e.g., government brochures, social media campaigns) covering Malay (with Kelantan/Malacca dialect markers), Mandarin (Cantonese vs. Standard Chinese influence), and Tamil (Indian vs. Sri Lankan variants).</w:t>
      </w:r>
    </w:p>
    <w:p>
      <w:pPr>
        <w:numPr>
          <w:ilvl w:val="0"/>
          <w:numId w:val="1002"/>
        </w:numPr>
        <w:pStyle w:val="Compact"/>
      </w:pPr>
      <w:r>
        <w:rPr>
          <w:bCs/>
          <w:b/>
        </w:rPr>
        <w:t xml:space="preserve">AI Development:</w:t>
      </w:r>
      <w:r>
        <w:t xml:space="preserve"> </w:t>
      </w:r>
      <w:r>
        <w:t xml:space="preserve">Train a transformer-based model using Malaysian language datasets on AWS Singapore, incorporating contextual embeddings for terms like "Bumi" (indigenous) or "Hawker" (street food) to avoid misinterpretation.</w:t>
      </w:r>
    </w:p>
    <w:p>
      <w:pPr>
        <w:numPr>
          <w:ilvl w:val="0"/>
          <w:numId w:val="1002"/>
        </w:numPr>
        <w:pStyle w:val="Compact"/>
      </w:pPr>
      <w:r>
        <w:rPr>
          <w:bCs/>
          <w:b/>
        </w:rPr>
        <w:t xml:space="preserve">Testing Framework:</w:t>
      </w:r>
      <w:r>
        <w:t xml:space="preserve"> </w:t>
      </w:r>
      <w:r>
        <w:t xml:space="preserve">Deploy the</w:t>
      </w:r>
      <w:r>
        <w:t xml:space="preserve"> </w:t>
      </w:r>
      <w:r>
        <w:rPr>
          <w:bCs/>
          <w:b/>
        </w:rPr>
        <w:t xml:space="preserve">Editor</w:t>
      </w:r>
      <w:r>
        <w:t xml:space="preserve"> </w:t>
      </w:r>
      <w:r>
        <w:t xml:space="preserve">prototype in KL’s digital corridors (e.g., Bangsar, Petaling Jaya), with 15 focus groups assessing usability. Metrics include error reduction rate, time efficiency, and cultural appropriateness score (via Likert scale).</w:t>
      </w:r>
    </w:p>
    <w:p>
      <w:pPr>
        <w:numPr>
          <w:ilvl w:val="0"/>
          <w:numId w:val="1002"/>
        </w:numPr>
        <w:pStyle w:val="Compact"/>
      </w:pPr>
      <w:r>
        <w:rPr>
          <w:bCs/>
          <w:b/>
        </w:rPr>
        <w:t xml:space="preserve">Validation:</w:t>
      </w:r>
      <w:r>
        <w:t xml:space="preserve"> </w:t>
      </w:r>
      <w:r>
        <w:t xml:space="preserve">Partner with MDEC to benchmark results against Malaysia’s Digital Content Standard (MDCS) for public-sector content.</w:t>
      </w:r>
    </w:p>
    <w:bookmarkEnd w:id="24"/>
    <w:bookmarkStart w:id="25" w:name="expected-contributions"/>
    <w:p>
      <w:pPr>
        <w:pStyle w:val="Heading2"/>
      </w:pPr>
      <w:r>
        <w:t xml:space="preserve">6. Expected Contributions</w:t>
      </w:r>
    </w:p>
    <w:p>
      <w:pPr>
        <w:pStyle w:val="FirstParagraph"/>
      </w:pPr>
      <w:r>
        <w:t xml:space="preserve">This thesis will deliver three key outcomes directly relevant to Malaysia Kuala Lumpur:</w:t>
      </w:r>
    </w:p>
    <w:p>
      <w:pPr>
        <w:numPr>
          <w:ilvl w:val="0"/>
          <w:numId w:val="1003"/>
        </w:numPr>
        <w:pStyle w:val="Compact"/>
      </w:pPr>
      <w:r>
        <w:t xml:space="preserve">A publicly accessible Malaysian language corpus for academic use, addressing the scarcity of local linguistic data in AI research.</w:t>
      </w:r>
    </w:p>
    <w:p>
      <w:pPr>
        <w:numPr>
          <w:ilvl w:val="0"/>
          <w:numId w:val="1003"/>
        </w:numPr>
        <w:pStyle w:val="Compact"/>
      </w:pPr>
      <w:r>
        <w:t xml:space="preserve">An open-source prototype of the contextual</w:t>
      </w:r>
      <w:r>
        <w:t xml:space="preserve"> </w:t>
      </w:r>
      <w:r>
        <w:rPr>
          <w:bCs/>
          <w:b/>
        </w:rPr>
        <w:t xml:space="preserve">Editor</w:t>
      </w:r>
      <w:r>
        <w:t xml:space="preserve">, optimized for KL’s multilingual SMEs with low-cost pricing tiers (e.g., RM50/month vs. international tools’ RM30+).</w:t>
      </w:r>
    </w:p>
    <w:p>
      <w:pPr>
        <w:numPr>
          <w:ilvl w:val="0"/>
          <w:numId w:val="1003"/>
        </w:numPr>
        <w:pStyle w:val="Compact"/>
      </w:pPr>
      <w:r>
        <w:t xml:space="preserve">Evidence-based guidelines for Malaysia’s digital policy-makers, supporting MyDigital 2025 targets to increase multilingual content accuracy by 40% in KL by 2027.</w:t>
      </w:r>
    </w:p>
    <w:bookmarkEnd w:id="25"/>
    <w:bookmarkStart w:id="26" w:name="significance-in-the-malaysian-context"/>
    <w:p>
      <w:pPr>
        <w:pStyle w:val="Heading2"/>
      </w:pPr>
      <w:r>
        <w:t xml:space="preserve">7. Significance in the Malaysian Context</w:t>
      </w:r>
    </w:p>
    <w:p>
      <w:pPr>
        <w:pStyle w:val="FirstParagraph"/>
      </w:pPr>
      <w:r>
        <w:t xml:space="preserve">Kuala Lumpur’s identity as Malaysia’s digital nerve center demands tools reflecting its pluralistic society. This</w:t>
      </w:r>
      <w:r>
        <w:t xml:space="preserve"> </w:t>
      </w:r>
      <w:r>
        <w:rPr>
          <w:bCs/>
          <w:b/>
        </w:rPr>
        <w:t xml:space="preserve">Editor</w:t>
      </w:r>
      <w:r>
        <w:t xml:space="preserve"> </w:t>
      </w:r>
      <w:r>
        <w:t xml:space="preserve">transcends language correction—it fosters inclusive public engagement by ensuring content resonates across ethnic groups (e.g., a KL City Hall announcement in Malay, Tamil, and Mandarin with consistent messaging). For instance, during the 2023 KL Flood Response, inconsistent multilingual alerts caused confusion; a context-aware</w:t>
      </w:r>
      <w:r>
        <w:t xml:space="preserve"> </w:t>
      </w:r>
      <w:r>
        <w:rPr>
          <w:bCs/>
          <w:b/>
        </w:rPr>
        <w:t xml:space="preserve">Editor</w:t>
      </w:r>
      <w:r>
        <w:t xml:space="preserve"> </w:t>
      </w:r>
      <w:r>
        <w:t xml:space="preserve">would prevent such gaps. Furthermore, as Malaysia positions itself for ASEAN Digital Hub status (per MDEC), this tool becomes critical infrastructure for localizing global content while preserving cultural integrity—directly advancing national goals in Kuala Lumpur.</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(KL Timeline)</w:t>
            </w:r>
          </w:p>
        </w:tc>
        <w:tc>
          <w:tcPr/>
          <w:p>
            <w:pPr>
              <w:pStyle w:val="Compact"/>
              <w:jc w:val="left"/>
            </w:pPr>
            <w:r>
              <w:t xml:space="preserve">Deliverable</w:t>
            </w:r>
          </w:p>
        </w:tc>
      </w:tr>
      <w:tr>
        <w:tc>
          <w:tcPr/>
          <w:p>
            <w:pPr>
              <w:pStyle w:val="Compact"/>
              <w:jc w:val="left"/>
            </w:pPr>
            <w:r>
              <w:t xml:space="preserve">Literature Review &amp; Data Sourcing</w:t>
            </w:r>
          </w:p>
        </w:tc>
        <w:tc>
          <w:tcPr/>
          <w:p>
            <w:pPr>
              <w:pStyle w:val="Compact"/>
              <w:jc w:val="left"/>
            </w:pPr>
            <w:r>
              <w:t xml:space="preserve">Month 1-3 (KL Q1)</w:t>
            </w:r>
          </w:p>
        </w:tc>
        <w:tc>
          <w:tcPr/>
          <w:p>
            <w:pPr>
              <w:pStyle w:val="Compact"/>
              <w:jc w:val="left"/>
            </w:pPr>
            <w:r>
              <w:t xml:space="preserve">Malaysian language corpus + institutional partnerships</w:t>
            </w:r>
          </w:p>
        </w:tc>
      </w:tr>
      <w:tr>
        <w:tc>
          <w:tcPr/>
          <w:p>
            <w:pPr>
              <w:pStyle w:val="Compact"/>
              <w:jc w:val="left"/>
            </w:pPr>
            <w:r>
              <w:t xml:space="preserve">AI Model Development</w:t>
            </w:r>
          </w:p>
        </w:tc>
        <w:tc>
          <w:tcPr/>
          <w:p>
            <w:pPr>
              <w:pStyle w:val="Compact"/>
              <w:jc w:val="left"/>
            </w:pPr>
            <w:r>
              <w:t xml:space="preserve">Month 4-7 (KL Q2-Q3)</w:t>
            </w:r>
          </w:p>
        </w:tc>
        <w:tc>
          <w:tcPr/>
          <w:p>
            <w:pPr>
              <w:pStyle w:val="Compact"/>
              <w:jc w:val="left"/>
            </w:pPr>
            <w:r>
              <w:t xml:space="preserve">Prototype with contextual grammar engine</w:t>
            </w:r>
          </w:p>
        </w:tc>
      </w:tr>
      <w:tr>
        <w:tc>
          <w:tcPr/>
          <w:p>
            <w:pPr>
              <w:pStyle w:val="Compact"/>
              <w:jc w:val="left"/>
            </w:pPr>
            <w:r>
              <w:t xml:space="preserve">Usability Testing in KL Communities</w:t>
            </w:r>
          </w:p>
        </w:tc>
        <w:tc>
          <w:tcPr/>
          <w:p>
            <w:pPr>
              <w:pStyle w:val="Compact"/>
              <w:jc w:val="left"/>
            </w:pPr>
            <w:r>
              <w:t xml:space="preserve">Month 8-10 (KL Q4)</w:t>
            </w:r>
          </w:p>
        </w:tc>
        <w:tc>
          <w:tcPr/>
          <w:p>
            <w:pPr>
              <w:pStyle w:val="Compact"/>
              <w:jc w:val="left"/>
            </w:pPr>
            <w:r>
              <w:t xml:space="preserve">User feedback report + validation against MDCS</w:t>
            </w:r>
          </w:p>
        </w:tc>
      </w:tr>
      <w:tr>
        <w:tc>
          <w:tcPr/>
          <w:p>
            <w:pPr>
              <w:pStyle w:val="Compact"/>
              <w:jc w:val="left"/>
            </w:pPr>
            <w:r>
              <w:t xml:space="preserve">Thesis Finalization &amp; Policy Briefing</w:t>
            </w:r>
          </w:p>
        </w:tc>
        <w:tc>
          <w:tcPr/>
          <w:p>
            <w:pPr>
              <w:pStyle w:val="Compact"/>
              <w:jc w:val="left"/>
            </w:pPr>
            <w:r>
              <w:t xml:space="preserve">Month 11-12 (KL Q1 Next Year)</w:t>
            </w:r>
          </w:p>
        </w:tc>
        <w:tc>
          <w:tcPr/>
          <w:p>
            <w:pPr>
              <w:pStyle w:val="Compact"/>
              <w:jc w:val="left"/>
            </w:pPr>
            <w:r>
              <w:t xml:space="preserve">Published thesis, open-source toolkit, MDEC policy memo</w:t>
            </w:r>
          </w:p>
        </w:tc>
      </w:tr>
    </w:tbl>
    <w:bookmarkEnd w:id="27"/>
    <w:bookmarkStart w:id="28" w:name="conclusion"/>
    <w:p>
      <w:pPr>
        <w:pStyle w:val="Heading2"/>
      </w:pPr>
      <w:r>
        <w:t xml:space="preserve">9. Conclusion</w:t>
      </w:r>
    </w:p>
    <w:p>
      <w:pPr>
        <w:pStyle w:val="FirstParagraph"/>
      </w:pPr>
      <w:r>
        <w:t xml:space="preserve">This Thesis Proposal outlines a pivotal step toward Malaysia’s digital sovereignty in Kuala Lumpur. By creating a context-aware</w:t>
      </w:r>
      <w:r>
        <w:t xml:space="preserve"> </w:t>
      </w:r>
      <w:r>
        <w:rPr>
          <w:bCs/>
          <w:b/>
        </w:rPr>
        <w:t xml:space="preserve">Editor</w:t>
      </w:r>
      <w:r>
        <w:t xml:space="preserve">, we address the acute need for culturally intelligent content tools in Malaysia’s most dynamic city. The proposed platform will not merely correct grammar—it will empower KL-based creators to communicate authentically across Malaysia’s linguistic tapestry, driving efficiency and trust in the digital economy. As Kuala Lumpur strides toward becoming a Smart City leader, this</w:t>
      </w:r>
      <w:r>
        <w:t xml:space="preserve"> </w:t>
      </w:r>
      <w:r>
        <w:rPr>
          <w:bCs/>
          <w:b/>
        </w:rPr>
        <w:t xml:space="preserve">Editor</w:t>
      </w:r>
      <w:r>
        <w:t xml:space="preserve"> </w:t>
      </w:r>
      <w:r>
        <w:t xml:space="preserve">positions Malaysia at the forefront of human-centered language technology. This research is not just an academic exercise; it is a strategic investment in Malaysia’s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Editorial Platform for Multilingual Content Creation in Malaysia Kuala Lumpur</dc:title>
  <dc:creator/>
  <dc:language>en</dc:language>
  <cp:keywords/>
  <dcterms:created xsi:type="dcterms:W3CDTF">2026-07-18T18:02:49Z</dcterms:created>
  <dcterms:modified xsi:type="dcterms:W3CDTF">2026-07-18T18:02:49Z</dcterms:modified>
</cp:coreProperties>
</file>

<file path=docProps/custom.xml><?xml version="1.0" encoding="utf-8"?>
<Properties xmlns="http://schemas.openxmlformats.org/officeDocument/2006/custom-properties" xmlns:vt="http://schemas.openxmlformats.org/officeDocument/2006/docPropsVTypes"/>
</file>