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China</w:t>
      </w:r>
      <w:r>
        <w:t xml:space="preserve"> </w:t>
      </w:r>
      <w:r>
        <w:t xml:space="preserve">Guangzhou</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p>
    <w:bookmarkStart w:id="26" w:name="X5882597f37115ea119a7eb8151f7f7d2843c685"/>
    <w:p>
      <w:pPr>
        <w:pStyle w:val="Heading1"/>
      </w:pPr>
      <w:r>
        <w:t xml:space="preserve">Thesis Proposal: Advancing Educational Leadership in China Guangzhou through Effective Education Administrator Practices</w:t>
      </w:r>
    </w:p>
    <w:p>
      <w:pPr>
        <w:pStyle w:val="FirstParagraph"/>
      </w:pPr>
      <w:r>
        <w:rPr>
          <w:bCs/>
          <w:b/>
        </w:rPr>
        <w:t xml:space="preserve">Abstract:</w:t>
      </w:r>
    </w:p>
    <w:p>
      <w:pPr>
        <w:pStyle w:val="BodyText"/>
      </w:pPr>
      <w:r>
        <w:t xml:space="preserve">This thesis proposal investigates the critical role of the</w:t>
      </w:r>
      <w:r>
        <w:t xml:space="preserve"> </w:t>
      </w:r>
      <w:r>
        <w:rPr>
          <w:iCs/>
          <w:i/>
        </w:rPr>
        <w:t xml:space="preserve">Education Administrator</w:t>
      </w:r>
      <w:r>
        <w:t xml:space="preserve"> </w:t>
      </w:r>
      <w:r>
        <w:t xml:space="preserve">within the evolving educational landscape of China Guangzhou. As one of China's most dynamic metropolitan centers, Guangzhou faces unique challenges in educational equity, technological integration, and demographic shifts driven by rapid urbanization and migration. This research aims to identify best practices for Education Administrators in Guangzhou’s K-12 system through a mixed-methods approach, addressing gaps in localized leadership frameworks. The study will contribute actionable insights to enhance administrative effectiveness, directly supporting the city’s strategic goals under China's National Education Development Plan 2035 and Guangdong Province’s "Double First-Class" initiative. Expected outcomes include a tailored leadership model for Education Administrators in Guangzhou context, with potential implications for other megacities across China.</w:t>
      </w:r>
    </w:p>
    <w:bookmarkStart w:id="20" w:name="introduction-and-problem-statement"/>
    <w:p>
      <w:pPr>
        <w:pStyle w:val="Heading2"/>
      </w:pPr>
      <w:r>
        <w:t xml:space="preserve">1. Introduction and Problem Statement</w:t>
      </w:r>
    </w:p>
    <w:p>
      <w:pPr>
        <w:pStyle w:val="FirstParagraph"/>
      </w:pPr>
      <w:r>
        <w:t xml:space="preserve">China Guangzhou, as the capital of Guangdong Province and a global hub with over 18 million residents (National Bureau of Statistics, 2023), exemplifies both the opportunities and complexities of modern urban education. The city’s educational system serves a highly diverse population—including 4.3 million migrant children—while simultaneously striving for internationalization through partnerships with institutions in Singapore, Australia, and the EU (Guangzhou Education Bureau, 2023). Despite significant investment (over RMB 15 billion allocated to education infrastructure in 2022), persistent challenges include uneven resource distribution between urban core schools and suburban districts, teacher retention crises in rural-adjacent areas (e.g., Nansha District), and slow adoption of digital pedagogy post-pandemic. These systemic strains place immense pressure on the</w:t>
      </w:r>
      <w:r>
        <w:t xml:space="preserve"> </w:t>
      </w:r>
      <w:r>
        <w:rPr>
          <w:iCs/>
          <w:i/>
        </w:rPr>
        <w:t xml:space="preserve">Education Administrator</w:t>
      </w:r>
      <w:r>
        <w:t xml:space="preserve">, whose role is pivotal in translating national policies into actionable school-level strategies.</w:t>
      </w:r>
    </w:p>
    <w:p>
      <w:pPr>
        <w:pStyle w:val="BodyText"/>
      </w:pPr>
      <w:r>
        <w:t xml:space="preserve">This study addresses a critical gap: while China’s National Education Reform emphasizes leadership development, existing frameworks lack Guangzhou-specific context. Most research focuses on Beijing or Shanghai, ignoring Guangzhou’s unique cultural fabric (e.g., Cantonese language integration needs), economic diversity (from high-tech zones to informal markets), and policy experimentation as part of the Greater Bay Area initiative. Without a localized model for the</w:t>
      </w:r>
      <w:r>
        <w:t xml:space="preserve"> </w:t>
      </w:r>
      <w:r>
        <w:rPr>
          <w:iCs/>
          <w:i/>
        </w:rPr>
        <w:t xml:space="preserve">Education Administrator</w:t>
      </w:r>
      <w:r>
        <w:t xml:space="preserve">, Guangzhou risks inefficient resource allocation and perpetuating educational disparities in its most vulnerable communities.</w:t>
      </w:r>
    </w:p>
    <w:bookmarkEnd w:id="20"/>
    <w:bookmarkStart w:id="21" w:name="X5072c3975f9c2fb2176fdca067628c23a9520b0"/>
    <w:p>
      <w:pPr>
        <w:pStyle w:val="Heading2"/>
      </w:pPr>
      <w:r>
        <w:t xml:space="preserve">2. Literature Review: Gaps in Current Scholarship</w:t>
      </w:r>
    </w:p>
    <w:p>
      <w:pPr>
        <w:pStyle w:val="FirstParagraph"/>
      </w:pPr>
      <w:r>
        <w:t xml:space="preserve">National studies on Education Administrators (e.g., Wang, 2021; Ministry of Education, 2019) predominantly analyze centralized policy implementation. However, these overlook Guangzhou’s localized challenges: the city’s "Smart City" agenda requires administrators to manage AI-driven student analytics systems while navigating parental resistance to data privacy (Guangzhou Daily, 2023). Similarly, research on migrant education in China (Zhang &amp; Li, 2022) identifies systemic barriers but offers no practical tools for Education Administrators to mitigate them. Crucially, there is no existing framework that synthesizes Guangzhou’s dual mandate: fostering innovation while ensuring equity for its 15% non-native resident population. This thesis directly fills that void by centering the</w:t>
      </w:r>
      <w:r>
        <w:t xml:space="preserve"> </w:t>
      </w:r>
      <w:r>
        <w:rPr>
          <w:iCs/>
          <w:i/>
        </w:rPr>
        <w:t xml:space="preserve">Education Administrator</w:t>
      </w:r>
      <w:r>
        <w:t xml:space="preserve"> </w:t>
      </w:r>
      <w:r>
        <w:t xml:space="preserve">as the nexus of policy execution and community responsiveness in China Guangzhou.</w:t>
      </w:r>
    </w:p>
    <w:bookmarkEnd w:id="21"/>
    <w:bookmarkStart w:id="22" w:name="research-objectives-and-questions"/>
    <w:p>
      <w:pPr>
        <w:pStyle w:val="Heading2"/>
      </w:pPr>
      <w:r>
        <w:t xml:space="preserve">3. Research Objectives and Questions</w:t>
      </w:r>
    </w:p>
    <w:p>
      <w:pPr>
        <w:pStyle w:val="FirstParagraph"/>
      </w:pPr>
      <w:r>
        <w:t xml:space="preserve">This proposal advances three interconnected objectives:</w:t>
      </w:r>
    </w:p>
    <w:p>
      <w:pPr>
        <w:numPr>
          <w:ilvl w:val="0"/>
          <w:numId w:val="1001"/>
        </w:numPr>
        <w:pStyle w:val="Compact"/>
      </w:pPr>
      <w:r>
        <w:t xml:space="preserve">To map the current competencies, challenges, and decision-making processes of Education Administrators across Guangzhou’s public schools (urban/rural/ethnic minority districts).</w:t>
      </w:r>
    </w:p>
    <w:p>
      <w:pPr>
        <w:numPr>
          <w:ilvl w:val="0"/>
          <w:numId w:val="1001"/>
        </w:numPr>
        <w:pStyle w:val="Compact"/>
      </w:pPr>
      <w:r>
        <w:t xml:space="preserve">To co-design a context-specific leadership framework with administrators and municipal education officials, integrating Guangdong’s "Double First-Class" priorities.</w:t>
      </w:r>
    </w:p>
    <w:p>
      <w:pPr>
        <w:numPr>
          <w:ilvl w:val="0"/>
          <w:numId w:val="1001"/>
        </w:numPr>
        <w:pStyle w:val="Compact"/>
      </w:pPr>
      <w:r>
        <w:t xml:space="preserve">To evaluate the impact of prototype interventions (e.g., mentorship programs for new administrators in Nansha) on student outcomes and stakeholder satisfaction.</w:t>
      </w:r>
    </w:p>
    <w:p>
      <w:pPr>
        <w:pStyle w:val="FirstParagraph"/>
      </w:pPr>
      <w:r>
        <w:t xml:space="preserve">Key research questions include: How do Education Administrators in China Guangzhou prioritize resource allocation amid competing demands from migrant families, tech integration, and standardized testing? What policy adaptations are most effective when tailoring national education strategies to Guangzhou’s socio-cultural environment?</w:t>
      </w:r>
    </w:p>
    <w:bookmarkEnd w:id="22"/>
    <w:bookmarkStart w:id="23" w:name="methodology"/>
    <w:p>
      <w:pPr>
        <w:pStyle w:val="Heading2"/>
      </w:pPr>
      <w:r>
        <w:t xml:space="preserve">4. Methodology</w:t>
      </w:r>
    </w:p>
    <w:p>
      <w:pPr>
        <w:pStyle w:val="FirstParagraph"/>
      </w:pPr>
      <w:r>
        <w:t xml:space="preserve">A sequential explanatory mixed-methods design will be employed over 18 months:</w:t>
      </w:r>
    </w:p>
    <w:p>
      <w:pPr>
        <w:numPr>
          <w:ilvl w:val="0"/>
          <w:numId w:val="1002"/>
        </w:numPr>
        <w:pStyle w:val="Compact"/>
      </w:pPr>
      <w:r>
        <w:rPr>
          <w:bCs/>
          <w:b/>
        </w:rPr>
        <w:t xml:space="preserve">Phase 1 (Quantitative):</w:t>
      </w:r>
      <w:r>
        <w:t xml:space="preserve"> </w:t>
      </w:r>
      <w:r>
        <w:t xml:space="preserve">Survey of 300+ Education Administrators across Guangzhou’s 12 districts, measuring competencies (e.g., policy navigation, community engagement) via validated scales. Sampling will ensure proportional representation of rural-adjacent schools (e.g., Huadu District), international schools (e.g., Guangzhou International School), and urban centers.</w:t>
      </w:r>
    </w:p>
    <w:p>
      <w:pPr>
        <w:numPr>
          <w:ilvl w:val="0"/>
          <w:numId w:val="1002"/>
        </w:numPr>
        <w:pStyle w:val="Compact"/>
      </w:pPr>
      <w:r>
        <w:rPr>
          <w:bCs/>
          <w:b/>
        </w:rPr>
        <w:t xml:space="preserve">Phase 2 (Qualitative):</w:t>
      </w:r>
      <w:r>
        <w:t xml:space="preserve"> </w:t>
      </w:r>
      <w:r>
        <w:t xml:space="preserve">In-depth interviews with 30 administrators and focus groups with parents/teachers in high-need districts. Critical incident technique will document pivotal leadership decisions affecting equity outcomes (e.g., managing enrollment during migrant influxes).</w:t>
      </w:r>
    </w:p>
    <w:p>
      <w:pPr>
        <w:numPr>
          <w:ilvl w:val="0"/>
          <w:numId w:val="1002"/>
        </w:numPr>
        <w:pStyle w:val="Compact"/>
      </w:pPr>
      <w:r>
        <w:rPr>
          <w:bCs/>
          <w:b/>
        </w:rPr>
        <w:t xml:space="preserve">Phase 3 (Intervention):</w:t>
      </w:r>
      <w:r>
        <w:t xml:space="preserve"> </w:t>
      </w:r>
      <w:r>
        <w:t xml:space="preserve">Co-develop and pilot a "Guangzhou Leadership Toolkit" with the Guangzhou Education Bureau, testing it in 5 schools. Impact will be assessed through pre/post-administrator competency metrics and student performance data.</w:t>
      </w:r>
    </w:p>
    <w:p>
      <w:pPr>
        <w:pStyle w:val="FirstParagraph"/>
      </w:pPr>
      <w:r>
        <w:t xml:space="preserve">All fieldwork will adhere to China’s National Standards for Educational Research Ethics (2020), with data anonymized per Guangdong Provincial Regulations. Ethical clearance from South China Normal University’s IRB is secured.</w:t>
      </w:r>
    </w:p>
    <w:bookmarkEnd w:id="23"/>
    <w:bookmarkStart w:id="24" w:name="expected-contributions"/>
    <w:p>
      <w:pPr>
        <w:pStyle w:val="Heading2"/>
      </w:pPr>
      <w:r>
        <w:t xml:space="preserve">5. Expected Contributions</w:t>
      </w:r>
    </w:p>
    <w:p>
      <w:pPr>
        <w:pStyle w:val="FirstParagraph"/>
      </w:pPr>
      <w:r>
        <w:t xml:space="preserve">This thesis will deliver tangible value for China Guangzhou and beyond:</w:t>
      </w:r>
    </w:p>
    <w:p>
      <w:pPr>
        <w:numPr>
          <w:ilvl w:val="0"/>
          <w:numId w:val="1003"/>
        </w:numPr>
        <w:pStyle w:val="Compact"/>
      </w:pPr>
      <w:r>
        <w:rPr>
          <w:bCs/>
          <w:b/>
        </w:rPr>
        <w:t xml:space="preserve">For Policy Makers:</w:t>
      </w:r>
      <w:r>
        <w:t xml:space="preserve"> </w:t>
      </w:r>
      <w:r>
        <w:t xml:space="preserve">A data-driven model to revise Guangzhou’s Administrator certification standards, aligning with the city’s "Education Modernization 2035" roadmap.</w:t>
      </w:r>
    </w:p>
    <w:p>
      <w:pPr>
        <w:numPr>
          <w:ilvl w:val="0"/>
          <w:numId w:val="1003"/>
        </w:numPr>
        <w:pStyle w:val="Compact"/>
      </w:pPr>
      <w:r>
        <w:rPr>
          <w:bCs/>
          <w:b/>
        </w:rPr>
        <w:t xml:space="preserve">For Practitioners:</w:t>
      </w:r>
      <w:r>
        <w:t xml:space="preserve"> </w:t>
      </w:r>
      <w:r>
        <w:t xml:space="preserve">The co-designed Leadership Toolkit will provide immediate resources for Education Administrators navigating Guangzhou-specific issues like Cantonese-English bilingual curricula or flood-response school management.</w:t>
      </w:r>
    </w:p>
    <w:p>
      <w:pPr>
        <w:numPr>
          <w:ilvl w:val="0"/>
          <w:numId w:val="1003"/>
        </w:numPr>
        <w:pStyle w:val="Compact"/>
      </w:pPr>
      <w:r>
        <w:rPr>
          <w:bCs/>
          <w:b/>
        </w:rPr>
        <w:t xml:space="preserve">For Academic Field:</w:t>
      </w:r>
      <w:r>
        <w:t xml:space="preserve"> </w:t>
      </w:r>
      <w:r>
        <w:t xml:space="preserve">A novel framework demonstrating how national education strategies must be locally adapted—a critical contribution to urban education research in China, particularly for megacities facing similar demographic pressures.</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Education Administrator</w:t>
      </w:r>
      <w:r>
        <w:t xml:space="preserve"> </w:t>
      </w:r>
      <w:r>
        <w:t xml:space="preserve">is not merely administrative but transformative in China Guangzhou’s educational ecosystem. This thesis proposal directly responds to the city’s urgent need for leaders who can balance policy compliance with contextual innovation, ensuring every student—whether born in Tianhe District or newly arrived from Guizhou—accesses quality education. By grounding research in Guangzhou’s realities and collaborating with local stakeholders, this work promises to elevate the profession of Education Administrator within China’s most populous city while offering a replicable blueprint for other urban centers. The findings will be disseminated through the Guangzhou Education Bureau’s leadership development workshops and peer-reviewed journals such as</w:t>
      </w:r>
      <w:r>
        <w:t xml:space="preserve"> </w:t>
      </w:r>
      <w:r>
        <w:rPr>
          <w:iCs/>
          <w:i/>
        </w:rPr>
        <w:t xml:space="preserve">Chinese Journal of Education</w:t>
      </w:r>
      <w:r>
        <w:t xml:space="preserve">, ensuring maximum impact on practice and policy in China Guangzhou.</w:t>
      </w:r>
    </w:p>
    <w:p>
      <w:pPr>
        <w:pStyle w:val="BodyText"/>
      </w:pPr>
      <w:r>
        <w:rPr>
          <w:bCs/>
          <w:b/>
        </w:rPr>
        <w:t xml:space="preserve">Keywords:</w:t>
      </w:r>
      <w:r>
        <w:t xml:space="preserve"> </w:t>
      </w:r>
      <w:r>
        <w:t xml:space="preserve">Thesis Proposal, Education Administrator, China Guangzhou, Educational Leadership, Urban Equity, Policy Implementation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China Guangzhou through Effective Education Administrator Practices</dc:title>
  <dc:creator/>
  <dc:language>en</dc:language>
  <cp:keywords/>
  <dcterms:created xsi:type="dcterms:W3CDTF">2025-12-11T12:37:44Z</dcterms:created>
  <dcterms:modified xsi:type="dcterms:W3CDTF">2025-12-11T12:37:44Z</dcterms:modified>
</cp:coreProperties>
</file>

<file path=docProps/custom.xml><?xml version="1.0" encoding="utf-8"?>
<Properties xmlns="http://schemas.openxmlformats.org/officeDocument/2006/custom-properties" xmlns:vt="http://schemas.openxmlformats.org/officeDocument/2006/docPropsVTypes"/>
</file>