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Kyoto</w:t>
      </w:r>
    </w:p>
    <w:bookmarkStart w:id="28" w:name="Xf8ba9dfab8494a839a574beb54bf0a3e7b57581"/>
    <w:p>
      <w:pPr>
        <w:pStyle w:val="Heading1"/>
      </w:pPr>
      <w:r>
        <w:t xml:space="preserve">Thesis Proposal: The Evolving Role of the Education Administrator in Japan Kyoto</w:t>
      </w:r>
    </w:p>
    <w:bookmarkStart w:id="20" w:name="introduction-and-context"/>
    <w:p>
      <w:pPr>
        <w:pStyle w:val="Heading2"/>
      </w:pPr>
      <w:r>
        <w:t xml:space="preserve">Introduction and Context</w:t>
      </w:r>
    </w:p>
    <w:p>
      <w:pPr>
        <w:pStyle w:val="FirstParagraph"/>
      </w:pPr>
      <w:r>
        <w:t xml:space="preserve">The field of educational leadership is undergoing significant transformation globally, yet its implementation within the unique cultural and systemic context of</w:t>
      </w:r>
      <w:r>
        <w:t xml:space="preserve"> </w:t>
      </w:r>
      <w:r>
        <w:rPr>
          <w:bCs/>
          <w:b/>
        </w:rPr>
        <w:t xml:space="preserve">Japan Kyoto</w:t>
      </w:r>
      <w:r>
        <w:t xml:space="preserve"> </w:t>
      </w:r>
      <w:r>
        <w:t xml:space="preserve">demands specialized research. This</w:t>
      </w:r>
      <w:r>
        <w:t xml:space="preserve"> </w:t>
      </w:r>
      <w:r>
        <w:rPr>
          <w:bCs/>
          <w:b/>
        </w:rPr>
        <w:t xml:space="preserve">Thesis Proposal</w:t>
      </w:r>
      <w:r>
        <w:t xml:space="preserve"> </w:t>
      </w:r>
      <w:r>
        <w:t xml:space="preserve">focuses on the critical role of the</w:t>
      </w:r>
      <w:r>
        <w:t xml:space="preserve"> </w:t>
      </w:r>
      <w:r>
        <w:rPr>
          <w:bCs/>
          <w:b/>
        </w:rPr>
        <w:t xml:space="preserve">Educational Administrator</w:t>
      </w:r>
      <w:r>
        <w:t xml:space="preserve"> </w:t>
      </w:r>
      <w:r>
        <w:t xml:space="preserve">within Kyoto Prefecture's diverse educational ecosystem. As Japan navigates demographic shifts, technological integration, and evolving societal expectations, the responsibilities of school administrators in</w:t>
      </w:r>
      <w:r>
        <w:t xml:space="preserve"> </w:t>
      </w:r>
      <w:r>
        <w:rPr>
          <w:iCs/>
          <w:i/>
        </w:rPr>
        <w:t xml:space="preserve">Japan Kyoto</w:t>
      </w:r>
      <w:r>
        <w:t xml:space="preserve"> </w:t>
      </w:r>
      <w:r>
        <w:t xml:space="preserve">are expanding beyond traditional management into strategic innovation and community engagement. This research aims to investigate how effective</w:t>
      </w:r>
      <w:r>
        <w:t xml:space="preserve"> </w:t>
      </w:r>
      <w:r>
        <w:rPr>
          <w:bCs/>
          <w:b/>
        </w:rPr>
        <w:t xml:space="preserve">Educational Administrators</w:t>
      </w:r>
      <w:r>
        <w:t xml:space="preserve"> </w:t>
      </w:r>
      <w:r>
        <w:t xml:space="preserve">in</w:t>
      </w:r>
      <w:r>
        <w:t xml:space="preserve"> </w:t>
      </w:r>
      <w:r>
        <w:rPr>
          <w:bCs/>
          <w:b/>
        </w:rPr>
        <w:t xml:space="preserve">Japan Kyoto</w:t>
      </w:r>
      <w:r>
        <w:t xml:space="preserve"> </w:t>
      </w:r>
      <w:r>
        <w:t xml:space="preserve">navigate these complexities while preserving the region's rich educational heritage and addressing contemporary challenges such as declining student populations, aging infrastructure, and the need for enhanced internationalization.</w:t>
      </w:r>
    </w:p>
    <w:bookmarkEnd w:id="20"/>
    <w:bookmarkStart w:id="21" w:name="problem-statement"/>
    <w:p>
      <w:pPr>
        <w:pStyle w:val="Heading2"/>
      </w:pPr>
      <w:r>
        <w:t xml:space="preserve">Problem Statement</w:t>
      </w:r>
    </w:p>
    <w:p>
      <w:pPr>
        <w:pStyle w:val="FirstParagraph"/>
      </w:pPr>
      <w:r>
        <w:t xml:space="preserve">Kyoto, a city renowned for its historical significance and cultural preservation, faces unique educational pressures. While national policies from Tokyo set broad frameworks through the Ministry of Education, Culture, Sports, Science and Technology (MEXT), local implementation in Kyoto requires nuanced understanding. Current research often overlooks the specific challenges faced by</w:t>
      </w:r>
      <w:r>
        <w:t xml:space="preserve"> </w:t>
      </w:r>
      <w:r>
        <w:rPr>
          <w:bCs/>
          <w:b/>
        </w:rPr>
        <w:t xml:space="preserve">Education Administrator</w:t>
      </w:r>
      <w:r>
        <w:t xml:space="preserve">s operating within Kyoto's distinct socio-cultural landscape—balancing traditional values like *gakumon* (learning as virtue) with modern pedagogical demands. Key gaps include: the lack of empirical studies on administrative efficacy in Kyoto's urban-rural school clusters, insufficient analysis of how local administrators leverage Kyoto’s cultural assets for curriculum innovation, and limited exploration of their role in fostering community partnerships unique to the city (e.g., with temples, artisans, and historical preservation societies). This</w:t>
      </w:r>
      <w:r>
        <w:t xml:space="preserve"> </w:t>
      </w:r>
      <w:r>
        <w:rPr>
          <w:bCs/>
          <w:b/>
        </w:rPr>
        <w:t xml:space="preserve">Thesis Proposal</w:t>
      </w:r>
      <w:r>
        <w:t xml:space="preserve"> </w:t>
      </w:r>
      <w:r>
        <w:t xml:space="preserve">directly addresses these gaps to inform future leadership development.</w:t>
      </w:r>
    </w:p>
    <w:bookmarkEnd w:id="21"/>
    <w:bookmarkStart w:id="22" w:name="X8574a7d9b014ecc461eda4ae8814ddd25d34776"/>
    <w:p>
      <w:pPr>
        <w:pStyle w:val="Heading2"/>
      </w:pPr>
      <w:r>
        <w:t xml:space="preserve">Literature Review (Focused on Kyoto Context)</w:t>
      </w:r>
    </w:p>
    <w:p>
      <w:pPr>
        <w:pStyle w:val="FirstParagraph"/>
      </w:pPr>
      <w:r>
        <w:t xml:space="preserve">Existing literature on Japanese educational administration largely centers on national policies or Tokyo-centric case studies, neglecting regional variations. Studies by scholars like Okada (2019) discuss MEXT’s top-down approach but rarely address local adaptations in historic cities like Kyoto. Research by Tanaka &amp; Sato (2021) highlights urban-rural disparities in Hokkaido, yet Kyoto’s context differs significantly due to its high density of cultural institutions and tourism-driven demographic fluctuations. Crucially, no major work examines how</w:t>
      </w:r>
      <w:r>
        <w:t xml:space="preserve"> </w:t>
      </w:r>
      <w:r>
        <w:rPr>
          <w:bCs/>
          <w:b/>
        </w:rPr>
        <w:t xml:space="preserve">Education Administrator</w:t>
      </w:r>
      <w:r>
        <w:t xml:space="preserve">s in</w:t>
      </w:r>
      <w:r>
        <w:t xml:space="preserve"> </w:t>
      </w:r>
      <w:r>
        <w:rPr>
          <w:bCs/>
          <w:b/>
        </w:rPr>
        <w:t xml:space="preserve">Japan Kyoto</w:t>
      </w:r>
      <w:r>
        <w:t xml:space="preserve"> </w:t>
      </w:r>
      <w:r>
        <w:t xml:space="preserve">utilize the city’s UNESCO sites (e.g., Kiyomizu-dera temple school partnerships) or *kintsugi* philosophy (repairing brokenness with gold) as frameworks for inclusive school leadership. This gap underscores the necessity of a Kyoto-specific investigation.</w:t>
      </w:r>
    </w:p>
    <w:bookmarkEnd w:id="22"/>
    <w:bookmarkStart w:id="23" w:name="research-objectives"/>
    <w:p>
      <w:pPr>
        <w:pStyle w:val="Heading2"/>
      </w:pPr>
      <w:r>
        <w:t xml:space="preserve">Research Objectives</w:t>
      </w:r>
    </w:p>
    <w:p>
      <w:pPr>
        <w:numPr>
          <w:ilvl w:val="0"/>
          <w:numId w:val="1001"/>
        </w:numPr>
        <w:pStyle w:val="Compact"/>
      </w:pPr>
      <w:r>
        <w:t xml:space="preserve">To analyze the evolving responsibilities and decision-making frameworks of current</w:t>
      </w:r>
      <w:r>
        <w:t xml:space="preserve"> </w:t>
      </w:r>
      <w:r>
        <w:rPr>
          <w:bCs/>
          <w:b/>
        </w:rPr>
        <w:t xml:space="preserve">Educational Administrator</w:t>
      </w:r>
      <w:r>
        <w:t xml:space="preserve">s across Kyoto Prefecture's public schools, distinguishing between urban (e.g., Kyoto City), suburban, and rural districts.</w:t>
      </w:r>
    </w:p>
    <w:p>
      <w:pPr>
        <w:numPr>
          <w:ilvl w:val="0"/>
          <w:numId w:val="1001"/>
        </w:numPr>
        <w:pStyle w:val="Compact"/>
      </w:pPr>
      <w:r>
        <w:t xml:space="preserve">To evaluate how effectively these administrators integrate Kyoto’s cultural heritage (e.g., tea ceremony, ikebana, calligraphy) into modern curricula while meeting national academic standards.</w:t>
      </w:r>
    </w:p>
    <w:p>
      <w:pPr>
        <w:numPr>
          <w:ilvl w:val="0"/>
          <w:numId w:val="1001"/>
        </w:numPr>
        <w:pStyle w:val="Compact"/>
      </w:pPr>
      <w:r>
        <w:t xml:space="preserve">To assess the impact of community-based partnerships (with local shrines, *machiya* businesses, and cultural NGOs) on student engagement and school sustainability in Kyoto.</w:t>
      </w:r>
    </w:p>
    <w:p>
      <w:pPr>
        <w:numPr>
          <w:ilvl w:val="0"/>
          <w:numId w:val="1001"/>
        </w:numPr>
        <w:pStyle w:val="Compact"/>
      </w:pPr>
      <w:r>
        <w:t xml:space="preserve">To propose evidence-based professional development models tailored to the specific needs of</w:t>
      </w:r>
      <w:r>
        <w:t xml:space="preserve"> </w:t>
      </w:r>
      <w:r>
        <w:rPr>
          <w:bCs/>
          <w:b/>
        </w:rPr>
        <w:t xml:space="preserve">Education Administrator</w:t>
      </w:r>
      <w:r>
        <w:t xml:space="preserve">s serving in</w:t>
      </w:r>
      <w:r>
        <w:t xml:space="preserve"> </w:t>
      </w:r>
      <w:r>
        <w:rPr>
          <w:bCs/>
          <w:b/>
        </w:rPr>
        <w:t xml:space="preserve">Japan Kyoto</w:t>
      </w:r>
      <w:r>
        <w:t xml:space="preserve">.</w:t>
      </w:r>
    </w:p>
    <w:bookmarkEnd w:id="23"/>
    <w:bookmarkStart w:id="24" w:name="methodology"/>
    <w:p>
      <w:pPr>
        <w:pStyle w:val="Heading2"/>
      </w:pPr>
      <w:r>
        <w:t xml:space="preserve">Methodology</w:t>
      </w:r>
    </w:p>
    <w:p>
      <w:pPr>
        <w:pStyle w:val="FirstParagraph"/>
      </w:pPr>
      <w:r>
        <w:t xml:space="preserve">This study employs a mixed-methods approach, combining quantitative and qualitative data collection within Kyoto. Phase 1 involves a survey distributed to all 1,800+ licensed school principals and vice-principals in Kyoto Prefecture (targeting 60% response rate) to gauge administrative priorities, resource challenges, and cultural integration practices. Phase 2 consists of in-depth interviews with 30 purposively selected</w:t>
      </w:r>
      <w:r>
        <w:t xml:space="preserve"> </w:t>
      </w:r>
      <w:r>
        <w:rPr>
          <w:bCs/>
          <w:b/>
        </w:rPr>
        <w:t xml:space="preserve">Education Administrator</w:t>
      </w:r>
      <w:r>
        <w:t xml:space="preserve">s representing diverse school types across Kyoto (e.g., a temple-affiliated school in Higashiyama Ward, a rural elementary school in Fushimi). Phase 3 includes participant observation at key educational events, such as the Kyoto City Board of Education’s annual "Cultural Learning Symposium" and community workshops hosted by *kōkō* (high schools) with local artisans. Data will be analyzed using thematic analysis for qualitative insights and SPSS for survey patterns, with a focus on contextual factors unique to</w:t>
      </w:r>
      <w:r>
        <w:t xml:space="preserve"> </w:t>
      </w:r>
      <w:r>
        <w:rPr>
          <w:bCs/>
          <w:b/>
        </w:rPr>
        <w:t xml:space="preserve">Japan Kyoto</w:t>
      </w:r>
      <w:r>
        <w:t xml:space="preserve">.</w:t>
      </w:r>
    </w:p>
    <w:bookmarkEnd w:id="24"/>
    <w:bookmarkStart w:id="25" w:name="expected-contributions"/>
    <w:p>
      <w:pPr>
        <w:pStyle w:val="Heading2"/>
      </w:pPr>
      <w:r>
        <w:t xml:space="preserve">Expected Contributions</w:t>
      </w:r>
    </w:p>
    <w:p>
      <w:pPr>
        <w:pStyle w:val="FirstParagraph"/>
      </w:pPr>
      <w:r>
        <w:t xml:space="preserve">This research promises significant theoretical and practical contributions. Theoretically, it advances the understanding of *regionalized educational leadership* within Japan’s centralized system, challenging assumptions of uniform administrative practice. Practically, findings will directly inform the Kyoto Prefectural Board of Education’s leadership training programs (e.g., enhancing modules on cultural asset utilization) and provide actionable strategies for school boards across</w:t>
      </w:r>
      <w:r>
        <w:t xml:space="preserve"> </w:t>
      </w:r>
      <w:r>
        <w:rPr>
          <w:bCs/>
          <w:b/>
        </w:rPr>
        <w:t xml:space="preserve">Japan Kyoto</w:t>
      </w:r>
      <w:r>
        <w:t xml:space="preserve">. By documenting successful models—such as schools partnering with Gion geisha districts for language immersion or Nishijin textile workshops for STEAM education—the</w:t>
      </w:r>
      <w:r>
        <w:t xml:space="preserve"> </w:t>
      </w:r>
      <w:r>
        <w:rPr>
          <w:bCs/>
          <w:b/>
        </w:rPr>
        <w:t xml:space="preserve">Thesis Proposal</w:t>
      </w:r>
      <w:r>
        <w:t xml:space="preserve"> </w:t>
      </w:r>
      <w:r>
        <w:t xml:space="preserve">will offer a replicable framework for leveraging local identity as an educational asset rather than a constraint.</w:t>
      </w:r>
    </w:p>
    <w:bookmarkEnd w:id="25"/>
    <w:bookmarkStart w:id="26" w:name="timeline-and-feasibility"/>
    <w:p>
      <w:pPr>
        <w:pStyle w:val="Heading2"/>
      </w:pPr>
      <w:r>
        <w:t xml:space="preserve">Timeline and Feasibility</w:t>
      </w:r>
    </w:p>
    <w:p>
      <w:pPr>
        <w:pStyle w:val="FirstParagraph"/>
      </w:pPr>
      <w:r>
        <w:t xml:space="preserve">A 12-month research timeline is proposed, with key milestones:</w:t>
      </w:r>
    </w:p>
    <w:p>
      <w:pPr>
        <w:numPr>
          <w:ilvl w:val="0"/>
          <w:numId w:val="1002"/>
        </w:numPr>
        <w:pStyle w:val="Compact"/>
      </w:pPr>
      <w:r>
        <w:rPr>
          <w:bCs/>
          <w:b/>
        </w:rPr>
        <w:t xml:space="preserve">Months 1-2:</w:t>
      </w:r>
      <w:r>
        <w:t xml:space="preserve"> </w:t>
      </w:r>
      <w:r>
        <w:t xml:space="preserve">Ethics approval (Kyoto University IRB) and survey finalization.</w:t>
      </w:r>
    </w:p>
    <w:p>
      <w:pPr>
        <w:numPr>
          <w:ilvl w:val="0"/>
          <w:numId w:val="1002"/>
        </w:numPr>
        <w:pStyle w:val="Compact"/>
      </w:pPr>
      <w:r>
        <w:rPr>
          <w:bCs/>
          <w:b/>
        </w:rPr>
        <w:t xml:space="preserve">Months 3-5:</w:t>
      </w:r>
      <w:r>
        <w:t xml:space="preserve"> </w:t>
      </w:r>
      <w:r>
        <w:t xml:space="preserve">Survey administration and initial data collection in Kyoto schools.</w:t>
      </w:r>
    </w:p>
    <w:p>
      <w:pPr>
        <w:numPr>
          <w:ilvl w:val="0"/>
          <w:numId w:val="1002"/>
        </w:numPr>
        <w:pStyle w:val="Compact"/>
      </w:pPr>
      <w:r>
        <w:rPr>
          <w:bCs/>
          <w:b/>
        </w:rPr>
        <w:t xml:space="preserve">Months 6-8:</w:t>
      </w:r>
      <w:r>
        <w:t xml:space="preserve"> </w:t>
      </w:r>
      <w:r>
        <w:t xml:space="preserve">Conducting interviews and observational fieldwork across Kyoto districts.</w:t>
      </w:r>
    </w:p>
    <w:p>
      <w:pPr>
        <w:numPr>
          <w:ilvl w:val="0"/>
          <w:numId w:val="1002"/>
        </w:numPr>
        <w:pStyle w:val="Compact"/>
      </w:pPr>
      <w:r>
        <w:rPr>
          <w:bCs/>
          <w:b/>
        </w:rPr>
        <w:t xml:space="preserve">Months 9-11:</w:t>
      </w:r>
      <w:r>
        <w:t xml:space="preserve"> </w:t>
      </w:r>
      <w:r>
        <w:t xml:space="preserve">Data analysis, draft writing, and validation workshop with Kyoto Board of Education stakeholders.</w:t>
      </w:r>
    </w:p>
    <w:p>
      <w:pPr>
        <w:numPr>
          <w:ilvl w:val="0"/>
          <w:numId w:val="1002"/>
        </w:numPr>
        <w:pStyle w:val="Compact"/>
      </w:pPr>
      <w:r>
        <w:rPr>
          <w:bCs/>
          <w:b/>
        </w:rPr>
        <w:t xml:space="preserve">Month 12:</w:t>
      </w:r>
      <w:r>
        <w:t xml:space="preserve"> </w:t>
      </w:r>
      <w:r>
        <w:t xml:space="preserve">Final thesis submission and dissemination plan (e.g., workshop for local administrators).</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Educational Administrator</w:t>
      </w:r>
      <w:r>
        <w:t xml:space="preserve"> </w:t>
      </w:r>
      <w:r>
        <w:t xml:space="preserve">in contemporary</w:t>
      </w:r>
      <w:r>
        <w:t xml:space="preserve"> </w:t>
      </w:r>
      <w:r>
        <w:rPr>
          <w:bCs/>
          <w:b/>
        </w:rPr>
        <w:t xml:space="preserve">Japan Kyoto</w:t>
      </w:r>
      <w:r>
        <w:t xml:space="preserve"> </w:t>
      </w:r>
      <w:r>
        <w:t xml:space="preserve">is pivotal for sustaining quality education amid unprecedented change. This</w:t>
      </w:r>
      <w:r>
        <w:t xml:space="preserve"> </w:t>
      </w:r>
      <w:r>
        <w:rPr>
          <w:bCs/>
          <w:b/>
        </w:rPr>
        <w:t xml:space="preserve">Thesis Proposal</w:t>
      </w:r>
      <w:r>
        <w:t xml:space="preserve"> </w:t>
      </w:r>
      <w:r>
        <w:t xml:space="preserve">asserts that effective leadership in Kyoto requires moving beyond bureaucratic compliance to become a dynamic cultural translator—bridging national mandates with local identity. By centering the experiences and strategies of administrators operating within Kyoto’s irreplaceable historical and community fabric, this study will generate knowledge essential for nurturing resilient, culturally grounded schools. It responds directly to the urgent need for leadership development that honors Kyoto’s legacy while preparing students for a globalized future. The insights generated will not only enrich academic discourse but also empower</w:t>
      </w:r>
      <w:r>
        <w:t xml:space="preserve"> </w:t>
      </w:r>
      <w:r>
        <w:rPr>
          <w:bCs/>
          <w:b/>
        </w:rPr>
        <w:t xml:space="preserve">Education Administrator</w:t>
      </w:r>
      <w:r>
        <w:t xml:space="preserve">s across</w:t>
      </w:r>
      <w:r>
        <w:t xml:space="preserve"> </w:t>
      </w:r>
      <w:r>
        <w:rPr>
          <w:bCs/>
          <w:b/>
        </w:rPr>
        <w:t xml:space="preserve">Japan Kyoto</w:t>
      </w:r>
      <w:r>
        <w:t xml:space="preserve"> </w:t>
      </w:r>
      <w:r>
        <w:t xml:space="preserve">to become agents of sustainable educational innovation.</w:t>
      </w:r>
    </w:p>
    <w:p>
      <w:pPr>
        <w:pStyle w:val="BodyText"/>
      </w:pPr>
      <w:r>
        <w:rPr>
          <w:iCs/>
          <w:i/>
        </w:rPr>
        <w:t xml:space="preserve">This Thesis Proposal is designed to contribute meaningfully to the advancement of educational administration within the unique context of Japan Kyoto, ensuring that leadership practices are both locally relevant and globally informed.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Education Administrator in Japan Kyoto</dc:title>
  <dc:creator/>
  <dc:language>en</dc:language>
  <cp:keywords/>
  <dcterms:created xsi:type="dcterms:W3CDTF">2026-07-24T02:11:38Z</dcterms:created>
  <dcterms:modified xsi:type="dcterms:W3CDTF">2026-07-24T02:11:38Z</dcterms:modified>
</cp:coreProperties>
</file>

<file path=docProps/custom.xml><?xml version="1.0" encoding="utf-8"?>
<Properties xmlns="http://schemas.openxmlformats.org/officeDocument/2006/custom-properties" xmlns:vt="http://schemas.openxmlformats.org/officeDocument/2006/docPropsVTypes"/>
</file>