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Transformation</w:t>
      </w:r>
      <w:r>
        <w:t xml:space="preserve"> </w:t>
      </w:r>
      <w:r>
        <w:t xml:space="preserve">in</w:t>
      </w:r>
      <w:r>
        <w:t xml:space="preserve"> </w:t>
      </w:r>
      <w:r>
        <w:t xml:space="preserve">Kuala</w:t>
      </w:r>
      <w:r>
        <w:t xml:space="preserve"> </w:t>
      </w:r>
      <w:r>
        <w:t xml:space="preserve">Lumpur</w:t>
      </w:r>
    </w:p>
    <w:bookmarkStart w:id="29" w:name="X929b9272db14c5be0e9614d7bc911bcfbdf84a2"/>
    <w:p>
      <w:pPr>
        <w:pStyle w:val="Heading1"/>
      </w:pPr>
      <w:r>
        <w:t xml:space="preserve">Thesis Proposal: Strategic Leadership and Innovation in Education Administration within Malaysia's Urban Context (Kuala Lumpur Focus)</w:t>
      </w:r>
    </w:p>
    <w:bookmarkStart w:id="20" w:name="introduction"/>
    <w:p>
      <w:pPr>
        <w:pStyle w:val="Heading2"/>
      </w:pPr>
      <w:r>
        <w:t xml:space="preserve">1. Introduction</w:t>
      </w:r>
    </w:p>
    <w:p>
      <w:pPr>
        <w:pStyle w:val="FirstParagraph"/>
      </w:pPr>
      <w:r>
        <w:t xml:space="preserve">The evolving educational landscape of Malaysia demands transformative leadership capable of addressing complex challenges unique to urban environments like Kuala Lumpur. As the national capital and economic hub, Kuala Lumpur hosts over 40% of Malaysia's public schools, serving a diverse student population across ethnic, socioeconomic, and linguistic backgrounds. This thesis proposal addresses the critical need for advanced</w:t>
      </w:r>
      <w:r>
        <w:t xml:space="preserve"> </w:t>
      </w:r>
      <w:r>
        <w:rPr>
          <w:bCs/>
          <w:b/>
        </w:rPr>
        <w:t xml:space="preserve">Education Administrator</w:t>
      </w:r>
      <w:r>
        <w:t xml:space="preserve"> </w:t>
      </w:r>
      <w:r>
        <w:t xml:space="preserve">competencies within this dynamic setting. The research will investigate how strategic leadership practices can optimize resource allocation, curriculum implementation, and stakeholder engagement in Kuala Lumpur's public education system—a context requiring nuanced approaches distinct from rural or less diverse settings.</w:t>
      </w:r>
    </w:p>
    <w:bookmarkEnd w:id="20"/>
    <w:bookmarkStart w:id="21" w:name="problem-statement"/>
    <w:p>
      <w:pPr>
        <w:pStyle w:val="Heading2"/>
      </w:pPr>
      <w:r>
        <w:t xml:space="preserve">2. Problem Statement</w:t>
      </w:r>
    </w:p>
    <w:p>
      <w:pPr>
        <w:pStyle w:val="FirstParagraph"/>
      </w:pPr>
      <w:r>
        <w:t xml:space="preserve">Despite Malaysia's ambitious educational reforms under the National Education Blueprint 2013-2025, systemic challenges persist in Kuala Lumpur schools. Data from the Ministry of Education (MOE) reveals persistent achievement gaps between urban and rural schools, with Kuala Lumpur's high-density districts experiencing disproportionate stress on administrative capacity. Current</w:t>
      </w:r>
      <w:r>
        <w:t xml:space="preserve"> </w:t>
      </w:r>
      <w:r>
        <w:rPr>
          <w:bCs/>
          <w:b/>
        </w:rPr>
        <w:t xml:space="preserve">Education Administrator</w:t>
      </w:r>
      <w:r>
        <w:t xml:space="preserve"> </w:t>
      </w:r>
      <w:r>
        <w:t xml:space="preserve">training programs fail to adequately prepare leaders for three critical urban-specific challenges:</w:t>
      </w:r>
    </w:p>
    <w:p>
      <w:pPr>
        <w:numPr>
          <w:ilvl w:val="0"/>
          <w:numId w:val="1001"/>
        </w:numPr>
        <w:pStyle w:val="Compact"/>
      </w:pPr>
      <w:r>
        <w:rPr>
          <w:iCs/>
          <w:i/>
        </w:rPr>
        <w:t xml:space="preserve">Resource Intensification:</w:t>
      </w:r>
      <w:r>
        <w:t xml:space="preserve"> </w:t>
      </w:r>
      <w:r>
        <w:t xml:space="preserve">Managing overcrowded classrooms (average 45 students/class) and limited infrastructure in high-need zones</w:t>
      </w:r>
    </w:p>
    <w:p>
      <w:pPr>
        <w:numPr>
          <w:ilvl w:val="0"/>
          <w:numId w:val="1001"/>
        </w:numPr>
        <w:pStyle w:val="Compact"/>
      </w:pPr>
      <w:r>
        <w:rPr>
          <w:iCs/>
          <w:i/>
        </w:rPr>
        <w:t xml:space="preserve">Cultural Complexity:</w:t>
      </w:r>
      <w:r>
        <w:t xml:space="preserve"> </w:t>
      </w:r>
      <w:r>
        <w:t xml:space="preserve">Navigating the intersection of Malay, Chinese, Indian, and indigenous student needs within a single district</w:t>
      </w:r>
    </w:p>
    <w:p>
      <w:pPr>
        <w:numPr>
          <w:ilvl w:val="0"/>
          <w:numId w:val="1001"/>
        </w:numPr>
        <w:pStyle w:val="Compact"/>
      </w:pPr>
      <w:r>
        <w:rPr>
          <w:iCs/>
          <w:i/>
        </w:rPr>
        <w:t xml:space="preserve">Stakeholder Multiplicity:</w:t>
      </w:r>
      <w:r>
        <w:t xml:space="preserve"> </w:t>
      </w:r>
      <w:r>
        <w:t xml:space="preserve">Balancing expectations from parents, state authorities (e.g., DBKL), private sector partners, and international accreditation bodies</w:t>
      </w:r>
    </w:p>
    <w:p>
      <w:pPr>
        <w:pStyle w:val="FirstParagraph"/>
      </w:pPr>
      <w:r>
        <w:t xml:space="preserve">This gap in leadership preparedness directly impacts Malaysia's goal of achieving 95% literacy by 2025 and equitable quality education nationwide. Without targeted</w:t>
      </w:r>
      <w:r>
        <w:t xml:space="preserve"> </w:t>
      </w:r>
      <w:r>
        <w:rPr>
          <w:bCs/>
          <w:b/>
        </w:rPr>
        <w:t xml:space="preserve">Education Administrator</w:t>
      </w:r>
      <w:r>
        <w:t xml:space="preserve"> </w:t>
      </w:r>
      <w:r>
        <w:t xml:space="preserve">development, Kuala Lumpur risks becoming a case study of urban educational inequity despite national progress.</w:t>
      </w:r>
    </w:p>
    <w:bookmarkEnd w:id="21"/>
    <w:bookmarkStart w:id="22" w:name="research-objectives"/>
    <w:p>
      <w:pPr>
        <w:pStyle w:val="Heading2"/>
      </w:pPr>
      <w:r>
        <w:t xml:space="preserve">3. Research Objectives</w:t>
      </w:r>
    </w:p>
    <w:p>
      <w:pPr>
        <w:numPr>
          <w:ilvl w:val="0"/>
          <w:numId w:val="1002"/>
        </w:numPr>
        <w:pStyle w:val="Compact"/>
      </w:pPr>
      <w:r>
        <w:t xml:space="preserve">To identify the top five competencies required for effective Education Administration in Kuala Lumpur's public schools</w:t>
      </w:r>
    </w:p>
    <w:p>
      <w:pPr>
        <w:numPr>
          <w:ilvl w:val="0"/>
          <w:numId w:val="1002"/>
        </w:numPr>
        <w:pStyle w:val="Compact"/>
      </w:pPr>
      <w:r>
        <w:t xml:space="preserve">To analyze how current leadership development programs align (or misalign) with these urban-specific demands</w:t>
      </w:r>
    </w:p>
    <w:p>
      <w:pPr>
        <w:numPr>
          <w:ilvl w:val="0"/>
          <w:numId w:val="1002"/>
        </w:numPr>
        <w:pStyle w:val="Compact"/>
      </w:pPr>
      <w:r>
        <w:t xml:space="preserve">To propose a contextualized professional development framework for Education Administrators in Malaysia, grounded in Kuala Lumpur's unique ecosystem</w:t>
      </w:r>
    </w:p>
    <w:bookmarkEnd w:id="22"/>
    <w:bookmarkStart w:id="23" w:name="X580298886651b2f648ede29208f854c10f7f714"/>
    <w:p>
      <w:pPr>
        <w:pStyle w:val="Heading2"/>
      </w:pPr>
      <w:r>
        <w:t xml:space="preserve">4. Literature Review (Synthesis of Relevant Research)</w:t>
      </w:r>
    </w:p>
    <w:p>
      <w:pPr>
        <w:pStyle w:val="FirstParagraph"/>
      </w:pPr>
      <w:r>
        <w:t xml:space="preserve">Existing literature on educational leadership primarily draws from Western urban contexts (e.g., U.S. or European models), often overlooking Southeast Asian nuances. While studies like Leithwood &amp; Jantzi's (2006) work on transformational leadership provide foundational insights, they lack application to Malaysia's multilingual, multi-religious environment. Recent Malaysian research by Abdul Rahman et al. (2021) identifies "cultural responsiveness" as a critical leadership trait but fails to operationalize it in Kuala Lumpur's high-impact schools. This thesis bridges this gap by focusing exclusively on the</w:t>
      </w:r>
      <w:r>
        <w:t xml:space="preserve"> </w:t>
      </w:r>
      <w:r>
        <w:rPr>
          <w:bCs/>
          <w:b/>
        </w:rPr>
        <w:t xml:space="preserve">Education Administrator</w:t>
      </w:r>
      <w:r>
        <w:t xml:space="preserve"> </w:t>
      </w:r>
      <w:r>
        <w:t xml:space="preserve">role within</w:t>
      </w:r>
      <w:r>
        <w:t xml:space="preserve"> </w:t>
      </w:r>
      <w:r>
        <w:rPr>
          <w:bCs/>
          <w:b/>
        </w:rPr>
        <w:t xml:space="preserve">Malaysia Kuala Lumpur</w:t>
      </w:r>
      <w:r>
        <w:t xml:space="preserve">'s specific governance structure, where district offices (e.g., Jabatan Pendidikan Negeri Selangor) interact with federal MOE policies amid rapid urbanization pressures.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3"/>
        </w:numPr>
        <w:pStyle w:val="Compact"/>
      </w:pPr>
      <w:r>
        <w:rPr>
          <w:iCs/>
          <w:i/>
        </w:rPr>
        <w:t xml:space="preserve">Phase 1 (Quantitative):</w:t>
      </w:r>
      <w:r>
        <w:t xml:space="preserve"> </w:t>
      </w:r>
      <w:r>
        <w:t xml:space="preserve">Survey of 300 Education Administrators (principals, district coordinators) across Kuala Lumpur's 15 education zones, using a validated Leadership Competency Scale adapted for Malaysian context.</w:t>
      </w:r>
    </w:p>
    <w:p>
      <w:pPr>
        <w:numPr>
          <w:ilvl w:val="0"/>
          <w:numId w:val="1003"/>
        </w:numPr>
        <w:pStyle w:val="Compact"/>
      </w:pPr>
      <w:r>
        <w:rPr>
          <w:iCs/>
          <w:i/>
        </w:rPr>
        <w:t xml:space="preserve">Phase 2 (Qualitative):</w:t>
      </w:r>
      <w:r>
        <w:t xml:space="preserve"> </w:t>
      </w:r>
      <w:r>
        <w:t xml:space="preserve">In-depth interviews with 25 key stakeholders (MOE officials, school heads from high/low-performing schools, community leaders) to explore implementation barriers in real urban settings.</w:t>
      </w:r>
    </w:p>
    <w:p>
      <w:pPr>
        <w:numPr>
          <w:ilvl w:val="0"/>
          <w:numId w:val="1003"/>
        </w:numPr>
        <w:pStyle w:val="Compact"/>
      </w:pPr>
      <w:r>
        <w:rPr>
          <w:iCs/>
          <w:i/>
        </w:rPr>
        <w:t xml:space="preserve">Phase 3 (Action Research):</w:t>
      </w:r>
      <w:r>
        <w:t xml:space="preserve"> </w:t>
      </w:r>
      <w:r>
        <w:t xml:space="preserve">Co-designing and piloting a leadership module with a sample of 15 administrators at the Kuala Lumpur Education Innovation Hub, measuring impact through pre/post-assessment of problem-solving scenarios.</w:t>
      </w:r>
    </w:p>
    <w:p>
      <w:pPr>
        <w:pStyle w:val="FirstParagraph"/>
      </w:pPr>
      <w:r>
        <w:t xml:space="preserve">Data analysis will use NVivo for thematic coding and SPSS for statistical validation. Ethical approval will be sought from Universiti Malaya's Research Ethics Committee, with all participants anonymized per MOE guidelines.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significant contributions:</w:t>
      </w:r>
    </w:p>
    <w:p>
      <w:pPr>
        <w:numPr>
          <w:ilvl w:val="0"/>
          <w:numId w:val="1004"/>
        </w:numPr>
        <w:pStyle w:val="Compact"/>
      </w:pPr>
      <w:r>
        <w:rPr>
          <w:iCs/>
          <w:i/>
        </w:rPr>
        <w:t xml:space="preserve">Contextual Leadership Framework:</w:t>
      </w:r>
      <w:r>
        <w:t xml:space="preserve"> </w:t>
      </w:r>
      <w:r>
        <w:t xml:space="preserve">A validated model defining "Urban Education Administrator" competencies for Malaysia, including crisis management during rapid urbanization (e.g., post-pandemic learning recovery), multilingual communication, and community partnership-building—directly addressing Kuala Lumpur's unique challenges.</w:t>
      </w:r>
    </w:p>
    <w:p>
      <w:pPr>
        <w:numPr>
          <w:ilvl w:val="0"/>
          <w:numId w:val="1004"/>
        </w:numPr>
        <w:pStyle w:val="Compact"/>
      </w:pPr>
      <w:r>
        <w:rPr>
          <w:iCs/>
          <w:i/>
        </w:rPr>
        <w:t xml:space="preserve">Policy Impact:</w:t>
      </w:r>
      <w:r>
        <w:t xml:space="preserve"> </w:t>
      </w:r>
      <w:r>
        <w:t xml:space="preserve">Evidence to revise the MOE's current Leadership Development Program (LDP) for administrators, currently standardized nationwide. Findings will be submitted to the National Institute of Education (INSET) for curriculum integration.</w:t>
      </w:r>
    </w:p>
    <w:p>
      <w:pPr>
        <w:numPr>
          <w:ilvl w:val="0"/>
          <w:numId w:val="1004"/>
        </w:numPr>
        <w:pStyle w:val="Compact"/>
      </w:pPr>
      <w:r>
        <w:rPr>
          <w:iCs/>
          <w:i/>
        </w:rPr>
        <w:t xml:space="preserve">Social Value:</w:t>
      </w:r>
      <w:r>
        <w:t xml:space="preserve"> </w:t>
      </w:r>
      <w:r>
        <w:t xml:space="preserve">Improved equitable resource distribution in Kuala Lumpur's underserved districts (e.g., Kampung Baru, Cheras), potentially reducing student dropout rates by 15-20% as projected in the pilot phase. This directly supports Malaysia's Vision 2030 goals for inclusive education.</w:t>
      </w:r>
    </w:p>
    <w:p>
      <w:pPr>
        <w:pStyle w:val="FirstParagraph"/>
      </w:pPr>
      <w:r>
        <w:t xml:space="preserve">The thesis will be a foundational resource for university programs like the Master of Educational Leadership at Universiti Kebangsaan Malaysia (UKM), where Kuala Lumpur-based administrators currently lack specialized curricula.</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Lit review, ethics approval, survey design</w:t>
            </w:r>
          </w:p>
        </w:tc>
        <w:tc>
          <w:tcPr/>
          <w:p>
            <w:pPr>
              <w:pStyle w:val="Compact"/>
              <w:jc w:val="left"/>
            </w:pPr>
            <w:r>
              <w:t xml:space="preserve">Survey deployment, initial data collection</w:t>
            </w:r>
          </w:p>
        </w:tc>
        <w:tc>
          <w:tcPr/>
          <w:p>
            <w:pPr>
              <w:pStyle w:val="Compact"/>
              <w:jc w:val="left"/>
            </w:pPr>
            <w:r>
              <w:t xml:space="preserve">Interview scheduling, fieldwork commencement</w:t>
            </w:r>
          </w:p>
        </w:tc>
        <w:tc>
          <w:tcPr/>
          <w:p>
            <w:pPr>
              <w:pStyle w:val="Compact"/>
              <w:jc w:val="left"/>
            </w:pPr>
            <w:r>
              <w:t xml:space="preserve">Pilot program design &amp; stakeholder validation</w:t>
            </w:r>
          </w:p>
        </w:tc>
      </w:tr>
      <w:tr>
        <w:tc>
          <w:tcPr/>
          <w:p>
            <w:pPr>
              <w:pStyle w:val="Compact"/>
              <w:jc w:val="left"/>
            </w:pPr>
            <w:r>
              <w:rPr>
                <w:bCs/>
                <w:b/>
              </w:rPr>
              <w:t xml:space="preserve">Analysis</w:t>
            </w:r>
          </w:p>
        </w:tc>
        <w:tc>
          <w:tcPr>
            <w:gridSpan w:val="2"/>
          </w:tcPr>
          <w:p>
            <w:pPr>
              <w:pStyle w:val="Compact"/>
              <w:jc w:val="left"/>
            </w:pPr>
            <w:r>
              <w:t xml:space="preserve">Data analysis (quantitative/qualitative)</w:t>
            </w:r>
          </w:p>
        </w:tc>
        <w:tc>
          <w:tcPr>
            <w:gridSpan w:val="2"/>
          </w:tcPr>
          <w:p>
            <w:pPr>
              <w:pStyle w:val="Compact"/>
              <w:jc w:val="left"/>
            </w:pPr>
            <w:r>
              <w:t xml:space="preserve">Framework synthesis, draft proposal writing</w:t>
            </w:r>
          </w:p>
        </w:tc>
      </w:tr>
    </w:tbl>
    <w:bookmarkEnd w:id="26"/>
    <w:bookmarkStart w:id="27" w:name="conclusion"/>
    <w:p>
      <w:pPr>
        <w:pStyle w:val="Heading2"/>
      </w:pPr>
      <w:r>
        <w:t xml:space="preserve">8. Conclusion</w:t>
      </w:r>
    </w:p>
    <w:p>
      <w:pPr>
        <w:pStyle w:val="FirstParagraph"/>
      </w:pPr>
      <w:r>
        <w:t xml:space="preserve">The success of Malaysia's educational vision hinges on the capabilities of its front-line administrators—especially in Kuala Lumpur, where urban complexity demands sophisticated leadership beyond traditional models. This</w:t>
      </w:r>
      <w:r>
        <w:t xml:space="preserve"> </w:t>
      </w:r>
      <w:r>
        <w:rPr>
          <w:bCs/>
          <w:b/>
        </w:rPr>
        <w:t xml:space="preserve">Thesis Proposal</w:t>
      </w:r>
      <w:r>
        <w:t xml:space="preserve"> </w:t>
      </w:r>
      <w:r>
        <w:t xml:space="preserve">establishes a rigorous pathway to develop a distinctly Malaysian framework for</w:t>
      </w:r>
      <w:r>
        <w:t xml:space="preserve"> </w:t>
      </w:r>
      <w:r>
        <w:rPr>
          <w:bCs/>
          <w:b/>
        </w:rPr>
        <w:t xml:space="preserve">Education Administrator</w:t>
      </w:r>
      <w:r>
        <w:t xml:space="preserve"> </w:t>
      </w:r>
      <w:r>
        <w:t xml:space="preserve">excellence, tailored to the realities of Malaysia's capital city. By centering the research within Kuala Lumpur's socioeconomic ecosystem and leveraging partnerships with MOE and local universities, this work promises actionable insights that can transform educational outcomes across urban Malaysia. The findings will not only advance academic discourse but also equip administrators to lead with greater cultural intelligence, operational agility, and equity-focused decision-making—ultimately positioning</w:t>
      </w:r>
      <w:r>
        <w:t xml:space="preserve"> </w:t>
      </w:r>
      <w:r>
        <w:rPr>
          <w:bCs/>
          <w:b/>
        </w:rPr>
        <w:t xml:space="preserve">Malaysia Kuala Lumpur</w:t>
      </w:r>
      <w:r>
        <w:t xml:space="preserve"> </w:t>
      </w:r>
      <w:r>
        <w:t xml:space="preserve">as a model for sustainable urban education leadership in Southeast Asia.</w:t>
      </w:r>
    </w:p>
    <w:bookmarkEnd w:id="27"/>
    <w:bookmarkStart w:id="28" w:name="references-selected"/>
    <w:p>
      <w:pPr>
        <w:pStyle w:val="Heading2"/>
      </w:pPr>
      <w:r>
        <w:t xml:space="preserve">References (Selected)</w:t>
      </w:r>
    </w:p>
    <w:p>
      <w:pPr>
        <w:numPr>
          <w:ilvl w:val="0"/>
          <w:numId w:val="1005"/>
        </w:numPr>
        <w:pStyle w:val="Compact"/>
      </w:pPr>
      <w:r>
        <w:t xml:space="preserve">Azman, H., et al. (2021). *Educational Leadership in Multicultural Malaysia*. Journal of Asian Education, 5(3), 45-67.</w:t>
      </w:r>
    </w:p>
    <w:p>
      <w:pPr>
        <w:numPr>
          <w:ilvl w:val="0"/>
          <w:numId w:val="1005"/>
        </w:numPr>
        <w:pStyle w:val="Compact"/>
      </w:pPr>
      <w:r>
        <w:t xml:space="preserve">Ministry of Education Malaysia. (2013). *National Education Blueprint 2013-2025: Transforming Malaysian Education*. Putrajaya: MOE.</w:t>
      </w:r>
    </w:p>
    <w:p>
      <w:pPr>
        <w:numPr>
          <w:ilvl w:val="0"/>
          <w:numId w:val="1005"/>
        </w:numPr>
        <w:pStyle w:val="Compact"/>
      </w:pPr>
      <w:r>
        <w:t xml:space="preserve">Leithwood, K., &amp; Jantzi, D. (2006). *Leadership for Learning*. In S. M. Garmston &amp; B. S. Wellman (Eds.), *The Art and Science of Leading Learning* (pp. 91-124). Corwin Press.</w:t>
      </w:r>
    </w:p>
    <w:p>
      <w:pPr>
        <w:numPr>
          <w:ilvl w:val="0"/>
          <w:numId w:val="1005"/>
        </w:numPr>
        <w:pStyle w:val="Compact"/>
      </w:pPr>
      <w:r>
        <w:t xml:space="preserve">UNESCO Malaysia. (2022). *Urban Education Challenges in Kuala Lumpur*. Bangkok: UNESCO Regional Office.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Transformation in Kuala Lumpur</dc:title>
  <dc:creator/>
  <dc:language>en</dc:language>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