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in</w:t>
      </w:r>
      <w:r>
        <w:t xml:space="preserve"> </w:t>
      </w:r>
      <w:r>
        <w:t xml:space="preserve">Kuwait</w:t>
      </w:r>
      <w:r>
        <w:t xml:space="preserve"> </w:t>
      </w:r>
      <w:r>
        <w:t xml:space="preserve">City</w:t>
      </w:r>
      <w:r>
        <w:t xml:space="preserve"> </w:t>
      </w:r>
      <w:r>
        <w:t xml:space="preserve">through</w:t>
      </w:r>
      <w:r>
        <w:t xml:space="preserve"> </w:t>
      </w:r>
      <w:r>
        <w:t xml:space="preserve">Sustainable</w:t>
      </w:r>
      <w:r>
        <w:t xml:space="preserve"> </w:t>
      </w:r>
      <w:r>
        <w:t xml:space="preserve">Electrical</w:t>
      </w:r>
      <w:r>
        <w:t xml:space="preserve"> </w:t>
      </w:r>
      <w:r>
        <w:t xml:space="preserve">Engineering</w:t>
      </w:r>
      <w:r>
        <w:t xml:space="preserve"> </w:t>
      </w:r>
      <w:r>
        <w:t xml:space="preserve">Practices</w:t>
      </w:r>
    </w:p>
    <w:bookmarkStart w:id="29" w:name="X8823fc62f70e297730b672b026cc908d1f231bf"/>
    <w:p>
      <w:pPr>
        <w:pStyle w:val="Heading1"/>
      </w:pPr>
      <w:r>
        <w:t xml:space="preserve">Thesis Proposal: Advancing Grid Resilience in Kuwait City through Sustainable Electrical Engineering Practices</w:t>
      </w:r>
    </w:p>
    <w:p>
      <w:pPr>
        <w:pStyle w:val="FirstParagraph"/>
      </w:pPr>
      <w:r>
        <w:rPr>
          <w:bCs/>
          <w:b/>
        </w:rPr>
        <w:t xml:space="preserve">Submitted by:</w:t>
      </w:r>
      <w:r>
        <w:t xml:space="preserve"> </w:t>
      </w:r>
      <w:r>
        <w:t xml:space="preserve">[Student Name]</w:t>
      </w:r>
      <w:r>
        <w:t xml:space="preserve"> </w:t>
      </w:r>
      <w:r>
        <w:rPr>
          <w:bCs/>
          <w:b/>
        </w:rPr>
        <w:t xml:space="preserve">Program:</w:t>
      </w:r>
      <w:r>
        <w:t xml:space="preserve"> </w:t>
      </w:r>
      <w:r>
        <w:t xml:space="preserve">Master of Science in Electrical Engineering</w:t>
      </w:r>
      <w:r>
        <w:t xml:space="preserve"> </w:t>
      </w:r>
      <w:r>
        <w:rPr>
          <w:bCs/>
          <w:b/>
        </w:rPr>
        <w:t xml:space="preserve">Institution:</w:t>
      </w:r>
      <w:r>
        <w:t xml:space="preserve"> </w:t>
      </w:r>
      <w:r>
        <w:t xml:space="preserve">Kuwait University, College of Engineering and Petroleum</w:t>
      </w:r>
      <w:r>
        <w:t xml:space="preserve"> </w:t>
      </w:r>
      <w:r>
        <w:rPr>
          <w:bCs/>
          <w:b/>
        </w:rPr>
        <w:t xml:space="preserve">Date:</w:t>
      </w:r>
      <w:r>
        <w:t xml:space="preserve"> </w:t>
      </w:r>
      <w:r>
        <w:t xml:space="preserve">October 26, 2023</w:t>
      </w:r>
    </w:p>
    <w:bookmarkStart w:id="20" w:name="i.-abstract"/>
    <w:p>
      <w:pPr>
        <w:pStyle w:val="Heading2"/>
      </w:pPr>
      <w:r>
        <w:t xml:space="preserve">I. Abstract</w:t>
      </w:r>
    </w:p>
    <w:p>
      <w:pPr>
        <w:pStyle w:val="FirstParagraph"/>
      </w:pPr>
      <w:r>
        <w:t xml:space="preserve">This Thesis Proposal outlines a comprehensive research study focused on enhancing electrical grid resilience in the rapidly urbanizing context of Kuwait City. As the capital of Kuwait and a hub for economic activity, Kuwait City faces unprecedented challenges due to extreme climatic conditions, exponential population growth, and ambitious national development goals under Vision 2035. The primary objective is to develop a sustainable framework for modernizing power distribution networks that addresses thermal stress, renewable energy integration, and infrastructure aging. This research directly responds to the critical need for a skilled</w:t>
      </w:r>
      <w:r>
        <w:t xml:space="preserve"> </w:t>
      </w:r>
      <w:r>
        <w:rPr>
          <w:bCs/>
          <w:b/>
        </w:rPr>
        <w:t xml:space="preserve">Electrical Engineer</w:t>
      </w:r>
      <w:r>
        <w:t xml:space="preserve"> </w:t>
      </w:r>
      <w:r>
        <w:t xml:space="preserve">in Kuwait City capable of designing future-proof electrical systems. By analyzing Kuwait City’s unique operational environment, this Thesis Proposal establishes a vital contribution to both academic knowledge and national infrastructure strategy.</w:t>
      </w:r>
    </w:p>
    <w:bookmarkEnd w:id="20"/>
    <w:bookmarkStart w:id="21" w:name="X94a61c19a3e1ce5d9055bc16876fffdbfe93b77"/>
    <w:p>
      <w:pPr>
        <w:pStyle w:val="Heading2"/>
      </w:pPr>
      <w:r>
        <w:t xml:space="preserve">II. Introduction: The Urgent Context of Electrical Engineering in Kuwait City</w:t>
      </w:r>
    </w:p>
    <w:p>
      <w:pPr>
        <w:pStyle w:val="FirstParagraph"/>
      </w:pPr>
      <w:r>
        <w:t xml:space="preserve">Kuwait City exemplifies the confluence of rapid urbanization and extreme environmental pressures, placing immense strain on its electrical infrastructure. With temperatures regularly exceeding 50°C during summer months, conventional power grids experience significant thermal degradation, leading to frequent outages and reduced efficiency. The Kuwait National Grid currently struggles to meet rising demand driven by residential expansion (e.g., Salmiya, Al-Sulaimiya), commercial hubs (e.g., Central Business District), and industrial complexes. Simultaneously, the State of Kuwait is committed to diversifying its energy mix under the</w:t>
      </w:r>
      <w:r>
        <w:t xml:space="preserve"> </w:t>
      </w:r>
      <w:r>
        <w:rPr>
          <w:bCs/>
          <w:b/>
        </w:rPr>
        <w:t xml:space="preserve">Kuwait</w:t>
      </w:r>
      <w:r>
        <w:t xml:space="preserve"> </w:t>
      </w:r>
      <w:r>
        <w:t xml:space="preserve">National Energy Strategy 2035, targeting 15% renewable energy contribution by 2030. However, integrating large-scale solar PV systems into a grid historically designed for fossil-fuel dominance presents complex technical challenges requiring specialized expertise. This is where the role of the modern</w:t>
      </w:r>
      <w:r>
        <w:t xml:space="preserve"> </w:t>
      </w:r>
      <w:r>
        <w:rPr>
          <w:bCs/>
          <w:b/>
        </w:rPr>
        <w:t xml:space="preserve">Electrical Engineer</w:t>
      </w:r>
      <w:r>
        <w:t xml:space="preserve"> </w:t>
      </w:r>
      <w:r>
        <w:t xml:space="preserve">becomes indispensable in Kuwait City’s developmental trajectory.</w:t>
      </w:r>
    </w:p>
    <w:bookmarkEnd w:id="21"/>
    <w:bookmarkStart w:id="22" w:name="iii.-problem-statement-and-research-gap"/>
    <w:p>
      <w:pPr>
        <w:pStyle w:val="Heading2"/>
      </w:pPr>
      <w:r>
        <w:t xml:space="preserve">III. Problem Statement and Research Gap</w:t>
      </w:r>
    </w:p>
    <w:p>
      <w:pPr>
        <w:pStyle w:val="FirstParagraph"/>
      </w:pPr>
      <w:r>
        <w:t xml:space="preserve">Current literature on power grid management largely focuses on temperate or developed economies, neglecting the specific thermal, operational, and regulatory context of Gulf cities like Kuwait City. Studies from the GCC (Gulf Cooperation Council) region often lack granular analysis of municipal-level distribution challenges. Furthermore, a critical gap exists in understanding how to train</w:t>
      </w:r>
      <w:r>
        <w:t xml:space="preserve"> </w:t>
      </w:r>
      <w:r>
        <w:rPr>
          <w:bCs/>
          <w:b/>
        </w:rPr>
        <w:t xml:space="preserve">Electrical Engineer</w:t>
      </w:r>
      <w:r>
        <w:t xml:space="preserve"> </w:t>
      </w:r>
      <w:r>
        <w:t xml:space="preserve">professionals within Kuwaiti institutions to address these hyper-localized issues. Existing frameworks fail to integrate climate resilience, renewable energy scalability, and workforce development into a cohesive strategy tailored for Kuwait City’s infrastructure landscape. This Thesis Proposal directly targets this gap by proposing an actionable model specifically designed for the realities of</w:t>
      </w:r>
      <w:r>
        <w:t xml:space="preserve"> </w:t>
      </w:r>
      <w:r>
        <w:rPr>
          <w:bCs/>
          <w:b/>
        </w:rPr>
        <w:t xml:space="preserve">Kuwait</w:t>
      </w:r>
      <w:r>
        <w:t xml:space="preserve"> </w:t>
      </w:r>
      <w:r>
        <w:t xml:space="preserve">City.</w:t>
      </w:r>
    </w:p>
    <w:bookmarkEnd w:id="22"/>
    <w:bookmarkStart w:id="23" w:name="iv.-research-objectives"/>
    <w:p>
      <w:pPr>
        <w:pStyle w:val="Heading2"/>
      </w:pPr>
      <w:r>
        <w:t xml:space="preserve">IV. Research Objectives</w:t>
      </w:r>
    </w:p>
    <w:p>
      <w:pPr>
        <w:numPr>
          <w:ilvl w:val="0"/>
          <w:numId w:val="1001"/>
        </w:numPr>
        <w:pStyle w:val="Compact"/>
      </w:pPr>
      <w:r>
        <w:t xml:space="preserve">To conduct a comprehensive assessment of thermal stress vulnerabilities across Kuwait City’s primary distribution substations (focusing on Al-Salwa, Al-Abdali, and Hawally zones).</w:t>
      </w:r>
    </w:p>
    <w:p>
      <w:pPr>
        <w:numPr>
          <w:ilvl w:val="0"/>
          <w:numId w:val="1001"/>
        </w:numPr>
        <w:pStyle w:val="Compact"/>
      </w:pPr>
      <w:r>
        <w:t xml:space="preserve">To develop a techno-economic model for integrating distributed solar generation into Kuwait City’s existing grid topology while maintaining stability during peak demand (e.g., summer afternoons).</w:t>
      </w:r>
    </w:p>
    <w:p>
      <w:pPr>
        <w:numPr>
          <w:ilvl w:val="0"/>
          <w:numId w:val="1001"/>
        </w:numPr>
        <w:pStyle w:val="Compact"/>
      </w:pPr>
      <w:r>
        <w:t xml:space="preserve">To propose a competency framework for training the next generation of</w:t>
      </w:r>
      <w:r>
        <w:t xml:space="preserve"> </w:t>
      </w:r>
      <w:r>
        <w:rPr>
          <w:bCs/>
          <w:b/>
        </w:rPr>
        <w:t xml:space="preserve">Electrical Engineer</w:t>
      </w:r>
      <w:r>
        <w:t xml:space="preserve"> </w:t>
      </w:r>
      <w:r>
        <w:t xml:space="preserve">professionals in Kuwait, emphasizing climate-resilient design and renewable integration.</w:t>
      </w:r>
    </w:p>
    <w:p>
      <w:pPr>
        <w:numPr>
          <w:ilvl w:val="0"/>
          <w:numId w:val="1001"/>
        </w:numPr>
        <w:pStyle w:val="Compact"/>
      </w:pPr>
      <w:r>
        <w:t xml:space="preserve">To evaluate the socio-economic impact of proposed grid modernization strategies on residential and commercial consumers in Kuwait City.</w:t>
      </w:r>
    </w:p>
    <w:bookmarkEnd w:id="23"/>
    <w:bookmarkStart w:id="24" w:name="X2ac1cbf4d472b74a88420a31b9ae3128dcddfa5"/>
    <w:p>
      <w:pPr>
        <w:pStyle w:val="Heading2"/>
      </w:pPr>
      <w:r>
        <w:t xml:space="preserve">V. Methodology: Context-Driven Research Design</w:t>
      </w:r>
    </w:p>
    <w:p>
      <w:pPr>
        <w:pStyle w:val="FirstParagraph"/>
      </w:pPr>
      <w:r>
        <w:t xml:space="preserve">This research employs a mixed-methods approach, ensuring relevance to</w:t>
      </w:r>
      <w:r>
        <w:t xml:space="preserve"> </w:t>
      </w:r>
      <w:r>
        <w:rPr>
          <w:bCs/>
          <w:b/>
        </w:rPr>
        <w:t xml:space="preserve">Kuwait</w:t>
      </w:r>
      <w:r>
        <w:t xml:space="preserve"> </w:t>
      </w:r>
      <w:r>
        <w:t xml:space="preserve">City’s ecosystem:</w:t>
      </w:r>
    </w:p>
    <w:p>
      <w:pPr>
        <w:numPr>
          <w:ilvl w:val="0"/>
          <w:numId w:val="1002"/>
        </w:numPr>
        <w:pStyle w:val="Compact"/>
      </w:pPr>
      <w:r>
        <w:rPr>
          <w:bCs/>
          <w:b/>
        </w:rPr>
        <w:t xml:space="preserve">Field Data Collection:</w:t>
      </w:r>
      <w:r>
        <w:t xml:space="preserve"> </w:t>
      </w:r>
      <w:r>
        <w:t xml:space="preserve">Collaborate with the Ministry of Electricity and Water (MEW) and KU's Smart Grid Lab to gather real-time thermal data from 15 key substations across Kuwait City during high-temperature periods (June–August 2024).</w:t>
      </w:r>
    </w:p>
    <w:p>
      <w:pPr>
        <w:numPr>
          <w:ilvl w:val="0"/>
          <w:numId w:val="1002"/>
        </w:numPr>
        <w:pStyle w:val="Compact"/>
      </w:pPr>
      <w:r>
        <w:rPr>
          <w:bCs/>
          <w:b/>
        </w:rPr>
        <w:t xml:space="preserve">Simulation &amp; Modeling:</w:t>
      </w:r>
      <w:r>
        <w:t xml:space="preserve"> </w:t>
      </w:r>
      <w:r>
        <w:t xml:space="preserve">Utilize DIgSILENT PowerFactory software to model Kuwait City’s grid topology, testing various renewable integration scenarios and thermal mitigation strategies under extreme climate conditions.</w:t>
      </w:r>
    </w:p>
    <w:p>
      <w:pPr>
        <w:numPr>
          <w:ilvl w:val="0"/>
          <w:numId w:val="1002"/>
        </w:numPr>
        <w:pStyle w:val="Compact"/>
      </w:pPr>
      <w:r>
        <w:rPr>
          <w:bCs/>
          <w:b/>
        </w:rPr>
        <w:t xml:space="preserve">Stakeholder Engagement:</w:t>
      </w:r>
      <w:r>
        <w:t xml:space="preserve"> </w:t>
      </w:r>
      <w:r>
        <w:t xml:space="preserve">Conduct workshops with MEW engineers, urban planners (Kuwait Municipality), and industry partners (e.g., KEPCO) to validate technical assumptions and identify institutional barriers.</w:t>
      </w:r>
    </w:p>
    <w:p>
      <w:pPr>
        <w:numPr>
          <w:ilvl w:val="0"/>
          <w:numId w:val="1002"/>
        </w:numPr>
        <w:pStyle w:val="Compact"/>
      </w:pPr>
      <w:r>
        <w:rPr>
          <w:bCs/>
          <w:b/>
        </w:rPr>
        <w:t xml:space="preserve">Economic Analysis:</w:t>
      </w:r>
      <w:r>
        <w:t xml:space="preserve"> </w:t>
      </w:r>
      <w:r>
        <w:t xml:space="preserve">Perform cost-benefit analysis of proposed solutions using Kuwait-specific energy pricing and infrastructure depreciation rates.</w:t>
      </w:r>
    </w:p>
    <w:bookmarkEnd w:id="24"/>
    <w:bookmarkStart w:id="25" w:name="vi.-expected-contributions"/>
    <w:p>
      <w:pPr>
        <w:pStyle w:val="Heading2"/>
      </w:pPr>
      <w:r>
        <w:t xml:space="preserve">VI. Expected Contributions</w:t>
      </w:r>
    </w:p>
    <w:p>
      <w:pPr>
        <w:pStyle w:val="FirstParagraph"/>
      </w:pPr>
      <w:r>
        <w:t xml:space="preserve">This Thesis Proposal promises significant value for both academia and national development:</w:t>
      </w:r>
    </w:p>
    <w:p>
      <w:pPr>
        <w:numPr>
          <w:ilvl w:val="0"/>
          <w:numId w:val="1003"/>
        </w:numPr>
        <w:pStyle w:val="Compact"/>
      </w:pPr>
      <w:r>
        <w:rPr>
          <w:bCs/>
          <w:b/>
        </w:rPr>
        <w:t xml:space="preserve">National Impact:</w:t>
      </w:r>
      <w:r>
        <w:t xml:space="preserve"> </w:t>
      </w:r>
      <w:r>
        <w:t xml:space="preserve">Provides Kuwait City’s policymakers with a data-driven blueprint for grid modernization aligned with Vision 2035, directly reducing outage incidents during critical periods.</w:t>
      </w:r>
    </w:p>
    <w:p>
      <w:pPr>
        <w:numPr>
          <w:ilvl w:val="0"/>
          <w:numId w:val="1003"/>
        </w:numPr>
        <w:pStyle w:val="Compact"/>
      </w:pPr>
      <w:r>
        <w:rPr>
          <w:bCs/>
          <w:b/>
        </w:rPr>
        <w:t xml:space="preserve">Professional Development:</w:t>
      </w:r>
      <w:r>
        <w:t xml:space="preserve"> </w:t>
      </w:r>
      <w:r>
        <w:t xml:space="preserve">Establishes the first comprehensive competency framework for</w:t>
      </w:r>
      <w:r>
        <w:t xml:space="preserve"> </w:t>
      </w:r>
      <w:r>
        <w:rPr>
          <w:bCs/>
          <w:b/>
        </w:rPr>
        <w:t xml:space="preserve">Electrical Engineer</w:t>
      </w:r>
      <w:r>
        <w:t xml:space="preserve">s in Kuwait, addressing the Ministry of Education’s identified shortage of specialists in sustainable power systems.</w:t>
      </w:r>
    </w:p>
    <w:p>
      <w:pPr>
        <w:numPr>
          <w:ilvl w:val="0"/>
          <w:numId w:val="1003"/>
        </w:numPr>
        <w:pStyle w:val="Compact"/>
      </w:pPr>
      <w:r>
        <w:rPr>
          <w:bCs/>
          <w:b/>
        </w:rPr>
        <w:t xml:space="preserve">Academic Rigor:</w:t>
      </w:r>
      <w:r>
        <w:t xml:space="preserve"> </w:t>
      </w:r>
      <w:r>
        <w:t xml:space="preserve">Contributes novel findings on grid resilience under extreme heat to international engineering literature, with specific applicability to arid urban centers globally.</w:t>
      </w:r>
    </w:p>
    <w:p>
      <w:pPr>
        <w:numPr>
          <w:ilvl w:val="0"/>
          <w:numId w:val="1003"/>
        </w:numPr>
        <w:pStyle w:val="Compact"/>
      </w:pPr>
      <w:r>
        <w:rPr>
          <w:bCs/>
          <w:b/>
        </w:rPr>
        <w:t xml:space="preserve">Sustainability Focus:</w:t>
      </w:r>
      <w:r>
        <w:t xml:space="preserve"> </w:t>
      </w:r>
      <w:r>
        <w:t xml:space="preserve">Offers a replicable model for integrating renewables into oil-based grids, supporting Kuwait’s environmental commitments while ensuring energy security in its capital city.</w:t>
      </w:r>
    </w:p>
    <w:bookmarkEnd w:id="25"/>
    <w:bookmarkStart w:id="26" w:name="vii.-timeline-feasibility"/>
    <w:p>
      <w:pPr>
        <w:pStyle w:val="Heading2"/>
      </w:pPr>
      <w:r>
        <w:t xml:space="preserve">VII. Timeline &amp; Feasibility</w:t>
      </w:r>
    </w:p>
    <w:p>
      <w:pPr>
        <w:pStyle w:val="FirstParagraph"/>
      </w:pPr>
      <w:r>
        <w:t xml:space="preserve">The proposed research is feasible within a 16-month master’s program at Kuwait University:</w:t>
      </w:r>
    </w:p>
    <w:p>
      <w:pPr>
        <w:numPr>
          <w:ilvl w:val="0"/>
          <w:numId w:val="1004"/>
        </w:numPr>
        <w:pStyle w:val="Compact"/>
      </w:pPr>
      <w:r>
        <w:rPr>
          <w:bCs/>
          <w:b/>
        </w:rPr>
        <w:t xml:space="preserve">Months 1-3:</w:t>
      </w:r>
      <w:r>
        <w:t xml:space="preserve"> </w:t>
      </w:r>
      <w:r>
        <w:t xml:space="preserve">Literature review, stakeholder mapping, and data access negotiations with MEW.</w:t>
      </w:r>
    </w:p>
    <w:p>
      <w:pPr>
        <w:numPr>
          <w:ilvl w:val="0"/>
          <w:numId w:val="1004"/>
        </w:numPr>
        <w:pStyle w:val="Compact"/>
      </w:pPr>
      <w:r>
        <w:rPr>
          <w:bCs/>
          <w:b/>
        </w:rPr>
        <w:t xml:space="preserve">Months 4-8:</w:t>
      </w:r>
      <w:r>
        <w:t xml:space="preserve"> </w:t>
      </w:r>
      <w:r>
        <w:t xml:space="preserve">Field data collection in Kuwait City; baseline grid modeling.</w:t>
      </w:r>
    </w:p>
    <w:p>
      <w:pPr>
        <w:numPr>
          <w:ilvl w:val="0"/>
          <w:numId w:val="1004"/>
        </w:numPr>
        <w:pStyle w:val="Compact"/>
      </w:pPr>
      <w:r>
        <w:rPr>
          <w:bCs/>
          <w:b/>
        </w:rPr>
        <w:t xml:space="preserve">Months 9-12:</w:t>
      </w:r>
      <w:r>
        <w:t xml:space="preserve"> </w:t>
      </w:r>
      <w:r>
        <w:t xml:space="preserve">Simulation development and scenario testing; initial framework drafting.</w:t>
      </w:r>
    </w:p>
    <w:p>
      <w:pPr>
        <w:numPr>
          <w:ilvl w:val="0"/>
          <w:numId w:val="1004"/>
        </w:numPr>
        <w:pStyle w:val="Compact"/>
      </w:pPr>
      <w:r>
        <w:rPr>
          <w:bCs/>
          <w:b/>
        </w:rPr>
        <w:t xml:space="preserve">Months 13-16:</w:t>
      </w:r>
      <w:r>
        <w:t xml:space="preserve"> </w:t>
      </w:r>
      <w:r>
        <w:t xml:space="preserve">Stakeholder validation workshops, final model refinement, thesis writing, and submission.</w:t>
      </w:r>
    </w:p>
    <w:bookmarkEnd w:id="26"/>
    <w:bookmarkStart w:id="27" w:name="viii.-conclusion"/>
    <w:p>
      <w:pPr>
        <w:pStyle w:val="Heading2"/>
      </w:pPr>
      <w:r>
        <w:t xml:space="preserve">VIII. Conclusion</w:t>
      </w:r>
    </w:p>
    <w:p>
      <w:pPr>
        <w:pStyle w:val="FirstParagraph"/>
      </w:pPr>
      <w:r>
        <w:t xml:space="preserve">Kuwait City stands at a pivotal moment where the stability of its electrical infrastructure is inextricably linked to economic prosperity and quality of life. This Thesis Proposal responds urgently to the need for localized, innovative solutions that empower a new generation of</w:t>
      </w:r>
      <w:r>
        <w:t xml:space="preserve"> </w:t>
      </w:r>
      <w:r>
        <w:rPr>
          <w:bCs/>
          <w:b/>
        </w:rPr>
        <w:t xml:space="preserve">Electrical Engineer</w:t>
      </w:r>
      <w:r>
        <w:t xml:space="preserve">s equipped to navigate Kuwait’s unique energy challenges. By focusing squarely on the operational realities of</w:t>
      </w:r>
      <w:r>
        <w:t xml:space="preserve"> </w:t>
      </w:r>
      <w:r>
        <w:rPr>
          <w:bCs/>
          <w:b/>
        </w:rPr>
        <w:t xml:space="preserve">Kuwait</w:t>
      </w:r>
      <w:r>
        <w:t xml:space="preserve"> </w:t>
      </w:r>
      <w:r>
        <w:t xml:space="preserve">City—its climate, growth patterns, and strategic goals—the research will deliver actionable insights far beyond academic exercise. The outcomes will directly support the State of Kuwait in achieving its Vision 2035 objectives while ensuring that future electrical infrastructure is resilient, sustainable, and tailored to the city’s demanding environment. This Thesis Proposal is not merely an academic requirement; it is a strategic contribution to securing Kuwait City’s energy future.</w:t>
      </w:r>
    </w:p>
    <w:bookmarkEnd w:id="27"/>
    <w:bookmarkStart w:id="28" w:name="ix.-references-selected"/>
    <w:p>
      <w:pPr>
        <w:pStyle w:val="Heading2"/>
      </w:pPr>
      <w:r>
        <w:t xml:space="preserve">IX. References (Selected)</w:t>
      </w:r>
    </w:p>
    <w:p>
      <w:pPr>
        <w:pStyle w:val="FirstParagraph"/>
      </w:pPr>
      <w:r>
        <w:t xml:space="preserve">Kuwait National Energy Strategy 2035. Ministry of Oil, State of Kuwait (2021).</w:t>
      </w:r>
      <w:r>
        <w:br/>
      </w:r>
      <w:r>
        <w:t xml:space="preserve">Al-Sulaiman, F.A., et al. "Thermal Degradation in Power Distribution Systems under Extreme Heat: A Gulf Case Study." IEEE Transactions on Power Systems, Vol. 38, No. 4 (2023).</w:t>
      </w:r>
      <w:r>
        <w:br/>
      </w:r>
      <w:r>
        <w:t xml:space="preserve">Kuwait Supreme Council for Environment Report: Urban Grid Stress Analysis (2023).</w:t>
      </w:r>
      <w:r>
        <w:br/>
      </w:r>
      <w:r>
        <w:t xml:space="preserve">Al-Jumaili, H., &amp; Hassan, M. "Workforce Development Gaps in Renewable Energy Engineering in GCC Countries." Journal of Gulf Engineering Education, Vol. 7, No. 1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Grid Resilience in Kuwait City through Sustainable Electrical Engineering Practices</dc:title>
  <dc:creator/>
  <dc:language>en</dc:language>
  <cp:keywords/>
  <dcterms:created xsi:type="dcterms:W3CDTF">2026-03-05T20:40:04Z</dcterms:created>
  <dcterms:modified xsi:type="dcterms:W3CDTF">2026-03-05T20:40:04Z</dcterms:modified>
</cp:coreProperties>
</file>

<file path=docProps/custom.xml><?xml version="1.0" encoding="utf-8"?>
<Properties xmlns="http://schemas.openxmlformats.org/officeDocument/2006/custom-properties" xmlns:vt="http://schemas.openxmlformats.org/officeDocument/2006/docPropsVTypes"/>
</file>