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Smart</w:t>
      </w:r>
      <w:r>
        <w:t xml:space="preserve"> </w:t>
      </w:r>
      <w:r>
        <w:t xml:space="preserve">Grid</w:t>
      </w:r>
      <w:r>
        <w:t xml:space="preserve"> </w:t>
      </w:r>
      <w:r>
        <w:t xml:space="preserve">Integration</w:t>
      </w:r>
      <w:r>
        <w:t xml:space="preserve"> </w:t>
      </w:r>
      <w:r>
        <w:t xml:space="preserve">for</w:t>
      </w:r>
      <w:r>
        <w:t xml:space="preserve"> </w:t>
      </w:r>
      <w:r>
        <w:t xml:space="preserve">Urban</w:t>
      </w:r>
      <w:r>
        <w:t xml:space="preserve"> </w:t>
      </w:r>
      <w:r>
        <w:t xml:space="preserve">Power</w:t>
      </w:r>
      <w:r>
        <w:t xml:space="preserve"> </w:t>
      </w:r>
      <w:r>
        <w:t xml:space="preserve">Distribution</w:t>
      </w:r>
      <w:r>
        <w:t xml:space="preserve"> </w:t>
      </w:r>
      <w:r>
        <w:t xml:space="preserve">in</w:t>
      </w:r>
      <w:r>
        <w:t xml:space="preserve"> </w:t>
      </w:r>
      <w:r>
        <w:t xml:space="preserve">Malaysia</w:t>
      </w:r>
      <w:r>
        <w:t xml:space="preserve"> </w:t>
      </w:r>
      <w:r>
        <w:t xml:space="preserve">Kuala</w:t>
      </w:r>
      <w:r>
        <w:t xml:space="preserve"> </w:t>
      </w:r>
      <w:r>
        <w:t xml:space="preserve">Lumpur</w:t>
      </w:r>
    </w:p>
    <w:bookmarkStart w:id="28" w:name="X318fc88e8deff72fd404a31e8df573f02e68ab3"/>
    <w:p>
      <w:pPr>
        <w:pStyle w:val="Heading1"/>
      </w:pPr>
      <w:r>
        <w:t xml:space="preserve">Thesis Proposal: Smart Grid Integration for Enhanced Power Distribution Efficiency in Urban Areas of Malaysia Kuala Lumpur</w:t>
      </w:r>
    </w:p>
    <w:bookmarkStart w:id="20" w:name="introduction"/>
    <w:p>
      <w:pPr>
        <w:pStyle w:val="Heading2"/>
      </w:pPr>
      <w:r>
        <w:t xml:space="preserve">1. Introduction</w:t>
      </w:r>
    </w:p>
    <w:p>
      <w:pPr>
        <w:pStyle w:val="FirstParagraph"/>
      </w:pPr>
      <w:r>
        <w:t xml:space="preserve">The rapid urbanization of Malaysia Kuala Lumpur, home to over 8 million residents and representing 30% of the nation's population, has placed unprecedented strain on existing electrical infrastructure. As a leading Southeast Asian metropolis, Kuala Lumpur faces critical challenges in power distribution including aging grid systems, increasing energy demand during peak hours (exceeding 12 GW annually), and the urgent need for sustainable energy solutions aligned with Malaysia's National Energy Transition Roadmap. This Thesis Proposal outlines a research initiative specifically designed to address these pressing issues through innovative smart grid technologies tailored for Malaysia Kuala Lumpur's unique urban landscape. The study will be conducted under the supervision of the Faculty of Electrical Engineering at Universiti Teknologi Malaysia (UTM), positioning it as a vital contribution to the development of future Electrical Engineer professionals capable of solving complex energy challenges in our nation's capital.</w:t>
      </w:r>
    </w:p>
    <w:bookmarkEnd w:id="20"/>
    <w:bookmarkStart w:id="21" w:name="problem-statement"/>
    <w:p>
      <w:pPr>
        <w:pStyle w:val="Heading2"/>
      </w:pPr>
      <w:r>
        <w:t xml:space="preserve">2. Problem Statement</w:t>
      </w:r>
    </w:p>
    <w:p>
      <w:pPr>
        <w:pStyle w:val="FirstParagraph"/>
      </w:pPr>
      <w:r>
        <w:t xml:space="preserve">Current power distribution networks in Malaysia Kuala Lumpur suffer from inefficiencies causing average energy losses exceeding 10%, significantly higher than the global benchmark of 6%. These losses stem from outdated infrastructure, inadequate real-time monitoring systems, and insufficient integration of renewable energy sources – a critical gap given Kuala Lumpur's solar potential (average 4.7 kWh/m²/day). Furthermore, the city's dense high-rise development creates unique challenges for grid resilience during monsoon seasons and extreme heat events. Without targeted interventions, these inefficiencies will impede Malaysia's ambition to achieve 100% renewable energy in its electricity mix by 2050 as outlined in the National Energy Policy (NEP) 2022. This research directly addresses the operational shortcomings that prevent Kuala Lumpur from becoming a model smart city for sustainable power management.</w:t>
      </w:r>
    </w:p>
    <w:bookmarkEnd w:id="21"/>
    <w:bookmarkStart w:id="22" w:name="research-objectives"/>
    <w:p>
      <w:pPr>
        <w:pStyle w:val="Heading2"/>
      </w:pPr>
      <w:r>
        <w:t xml:space="preserve">3. Research Objectives</w:t>
      </w:r>
    </w:p>
    <w:p>
      <w:pPr>
        <w:numPr>
          <w:ilvl w:val="0"/>
          <w:numId w:val="1001"/>
        </w:numPr>
        <w:pStyle w:val="Compact"/>
      </w:pPr>
      <w:r>
        <w:t xml:space="preserve">To design and simulate a cloud-based smart grid architecture optimized for high-density urban environments in Malaysia Kuala Lumpur, integrating distributed renewable energy sources (solar PV systems on commercial buildings) with existing distribution networks.</w:t>
      </w:r>
    </w:p>
    <w:p>
      <w:pPr>
        <w:numPr>
          <w:ilvl w:val="0"/>
          <w:numId w:val="1001"/>
        </w:numPr>
        <w:pStyle w:val="Compact"/>
      </w:pPr>
      <w:r>
        <w:t xml:space="preserve">To develop AI-driven predictive maintenance algorithms specifically calibrated to Kuala Lumpur's climatic conditions (high humidity, monsoon cycles) to reduce unplanned outages by 30%.</w:t>
      </w:r>
    </w:p>
    <w:p>
      <w:pPr>
        <w:numPr>
          <w:ilvl w:val="0"/>
          <w:numId w:val="1001"/>
        </w:numPr>
        <w:pStyle w:val="Compact"/>
      </w:pPr>
      <w:r>
        <w:t xml:space="preserve">To evaluate the economic and environmental impact of implementing this smart grid framework across three representative districts in Malaysia Kuala Lumpur (e.g., Petaling Jaya, Bangsar, and Taman Jaya), measuring reductions in energy losses, carbon footprint, and operational costs.</w:t>
      </w:r>
    </w:p>
    <w:p>
      <w:pPr>
        <w:numPr>
          <w:ilvl w:val="0"/>
          <w:numId w:val="1001"/>
        </w:numPr>
        <w:pStyle w:val="Compact"/>
      </w:pPr>
      <w:r>
        <w:t xml:space="preserve">To propose a standardized implementation roadmap for Electrical Engineer professionals working with Tenaga Nasional Berhad (TNB) and local municipal authorities in Malaysia Kuala Lumpur.</w:t>
      </w:r>
    </w:p>
    <w:bookmarkEnd w:id="22"/>
    <w:bookmarkStart w:id="23" w:name="literature-review"/>
    <w:p>
      <w:pPr>
        <w:pStyle w:val="Heading2"/>
      </w:pPr>
      <w:r>
        <w:t xml:space="preserve">4. Literature Review</w:t>
      </w:r>
    </w:p>
    <w:p>
      <w:pPr>
        <w:pStyle w:val="FirstParagraph"/>
      </w:pPr>
      <w:r>
        <w:t xml:space="preserve">Recent studies by the International Energy Agency (IEA, 2023) confirm smart grid deployment can reduce distribution losses by 15-20% globally. However, existing frameworks fail to account for Southeast Asian urban contexts – particularly Kuala Lumpur's unique combination of high population density (8,574 people/km²), tropical weather patterns, and mixed-use building typologies. A 2022 study by the Malaysian Institute of Research on Energy Transition (MIRET) noted that only 18% of Malaysian Electrical Engineer graduates possess specialized smart grid skills required for urban implementation. This research bridges critical knowledge gaps by contextualizing global smart grid best practices within Malaysia Kuala Lumpur's specific regulatory environment, infrastructure constraints, and socio-economic factors, directly addressing the competency gap in our national electrical engineering workforce.</w:t>
      </w:r>
    </w:p>
    <w:bookmarkEnd w:id="23"/>
    <w:bookmarkStart w:id="24" w:name="methodology"/>
    <w:p>
      <w:pPr>
        <w:pStyle w:val="Heading2"/>
      </w:pPr>
      <w:r>
        <w:t xml:space="preserve">5. Methodology</w:t>
      </w:r>
    </w:p>
    <w:p>
      <w:pPr>
        <w:pStyle w:val="FirstParagraph"/>
      </w:pPr>
      <w:r>
        <w:t xml:space="preserve">This interdisciplinary research employs a three-phase methodology:</w:t>
      </w:r>
    </w:p>
    <w:p>
      <w:pPr>
        <w:numPr>
          <w:ilvl w:val="0"/>
          <w:numId w:val="1002"/>
        </w:numPr>
        <w:pStyle w:val="Compact"/>
      </w:pPr>
      <w:r>
        <w:rPr>
          <w:bCs/>
          <w:b/>
        </w:rPr>
        <w:t xml:space="preserve">Field Assessment (Months 1-4):</w:t>
      </w:r>
      <w:r>
        <w:t xml:space="preserve"> </w:t>
      </w:r>
      <w:r>
        <w:t xml:space="preserve">Conduct grid audits across selected Kuala Lumpur districts using IoT sensors to collect real-time data on voltage fluctuations, load patterns, and weather impacts. Collaborate with TNB engineers to access anonymized historical outage records.</w:t>
      </w:r>
    </w:p>
    <w:p>
      <w:pPr>
        <w:numPr>
          <w:ilvl w:val="0"/>
          <w:numId w:val="1002"/>
        </w:numPr>
        <w:pStyle w:val="Compact"/>
      </w:pPr>
      <w:r>
        <w:rPr>
          <w:bCs/>
          <w:b/>
        </w:rPr>
        <w:t xml:space="preserve">Model Development (Months 5-9):</w:t>
      </w:r>
      <w:r>
        <w:t xml:space="preserve"> </w:t>
      </w:r>
      <w:r>
        <w:t xml:space="preserve">Utilize MATLAB/Simulink and cloud platforms (AWS) to build a digital twin of Kuala Lumpur's distribution grid. Integrate machine learning models (LSTM networks) trained on local climate data to forecast demand surges during heatwaves and monsoon seasons.</w:t>
      </w:r>
    </w:p>
    <w:p>
      <w:pPr>
        <w:numPr>
          <w:ilvl w:val="0"/>
          <w:numId w:val="1002"/>
        </w:numPr>
        <w:pStyle w:val="Compact"/>
      </w:pPr>
      <w:r>
        <w:rPr>
          <w:bCs/>
          <w:b/>
        </w:rPr>
        <w:t xml:space="preserve">Validation &amp; Implementation Strategy (Months 10-12):</w:t>
      </w:r>
      <w:r>
        <w:t xml:space="preserve"> </w:t>
      </w:r>
      <w:r>
        <w:t xml:space="preserve">Run comparative simulations against current grid performance metrics. Develop a phased deployment plan for Electrical Engineer teams, including cost-benefit analysis and training modules aligned with MESTECC's professional development standards for Malaysia's energy sector.</w:t>
      </w:r>
    </w:p>
    <w:bookmarkEnd w:id="24"/>
    <w:bookmarkStart w:id="25" w:name="expected-outcomes-and-significance"/>
    <w:p>
      <w:pPr>
        <w:pStyle w:val="Heading2"/>
      </w:pPr>
      <w:r>
        <w:t xml:space="preserve">6. Expected Outcomes and Significance</w:t>
      </w:r>
    </w:p>
    <w:p>
      <w:pPr>
        <w:pStyle w:val="FirstParagraph"/>
      </w:pPr>
      <w:r>
        <w:t xml:space="preserve">The successful completion of this research will yield:</w:t>
      </w:r>
    </w:p>
    <w:p>
      <w:pPr>
        <w:numPr>
          <w:ilvl w:val="0"/>
          <w:numId w:val="1003"/>
        </w:numPr>
        <w:pStyle w:val="Compact"/>
      </w:pPr>
      <w:r>
        <w:t xml:space="preserve">A validated smart grid architecture prototype specifically designed for high-density urban centers in Malaysia Kuala Lumpur, reducing energy losses by an estimated 18-22%.</w:t>
      </w:r>
    </w:p>
    <w:p>
      <w:pPr>
        <w:numPr>
          <w:ilvl w:val="0"/>
          <w:numId w:val="1003"/>
        </w:numPr>
        <w:pStyle w:val="Compact"/>
      </w:pPr>
      <w:r>
        <w:t xml:space="preserve">A technical framework for Electrical Engineer practitioners to implement AI-based monitoring systems within Malaysia's existing regulatory framework (e.g., Energy Commission guidelines).</w:t>
      </w:r>
    </w:p>
    <w:p>
      <w:pPr>
        <w:numPr>
          <w:ilvl w:val="0"/>
          <w:numId w:val="1003"/>
        </w:numPr>
        <w:pStyle w:val="Compact"/>
      </w:pPr>
      <w:r>
        <w:t xml:space="preserve">Quantifiable evidence demonstrating how smart grid integration supports Malaysia's Sustainable Development Goals (SDG 7 and 13) through reduced emissions and enhanced energy security in the nation's capital.</w:t>
      </w:r>
    </w:p>
    <w:p>
      <w:pPr>
        <w:numPr>
          <w:ilvl w:val="0"/>
          <w:numId w:val="1003"/>
        </w:numPr>
        <w:pStyle w:val="Compact"/>
      </w:pPr>
      <w:r>
        <w:t xml:space="preserve">Practical training materials for Electrical Engineering curricula at Malaysian universities, addressing the identified skill gap highlighted by MIRET.</w:t>
      </w:r>
    </w:p>
    <w:p>
      <w:pPr>
        <w:pStyle w:val="FirstParagraph"/>
      </w:pPr>
      <w:r>
        <w:t xml:space="preserve">This Thesis Proposal directly contributes to Malaysia's national goals by positioning Kuala Lumpur as a testbed for Southeast Asian smart grid innovation. It empowers future Electrical Engineer graduates with location-specific expertise crucial for meeting Malaysia's energy transition targets, while generating data that can inform the national Smart City Initiative led by the Ministry of Housing and Local Government.</w:t>
      </w:r>
    </w:p>
    <w:bookmarkEnd w:id="25"/>
    <w:bookmarkStart w:id="26" w:name="timeline"/>
    <w:p>
      <w:pPr>
        <w:pStyle w:val="Heading2"/>
      </w:pPr>
      <w:r>
        <w:t xml:space="preserve">7. Timeline</w:t>
      </w:r>
    </w:p>
    <w:p>
      <w:pPr>
        <w:pStyle w:val="FirstParagraph"/>
      </w:pPr>
      <w:r>
        <w:t xml:space="preserve">Phase</w:t>
      </w:r>
    </w:p>
    <w:p>
      <w:pPr>
        <w:pStyle w:val="BodyText"/>
      </w:pPr>
      <w:r>
        <w:t xml:space="preserve">Months 1-3</w:t>
      </w:r>
    </w:p>
    <w:p>
      <w:pPr>
        <w:pStyle w:val="BodyText"/>
      </w:pPr>
      <w:r>
        <w:t xml:space="preserve">Months 4-6</w:t>
      </w:r>
    </w:p>
    <w:p>
      <w:pPr>
        <w:pStyle w:val="BodyText"/>
      </w:pPr>
      <w:r>
        <w:t xml:space="preserve">Months 7-9</w:t>
      </w:r>
    </w:p>
    <w:p>
      <w:pPr>
        <w:pStyle w:val="BodyText"/>
      </w:pPr>
      <w:r>
        <w:t xml:space="preserve">Months 10-12</w:t>
      </w:r>
    </w:p>
    <w:p>
      <w:pPr>
        <w:pStyle w:val="BodyText"/>
      </w:pPr>
      <w:r>
        <w:t xml:space="preserve">Data Collection &amp; Analysis</w:t>
      </w:r>
    </w:p>
    <w:p>
      <w:pPr>
        <w:pStyle w:val="BodyText"/>
      </w:pPr>
      <w:r>
        <w:t xml:space="preserve">X</w:t>
      </w:r>
    </w:p>
    <w:p>
      <w:pPr>
        <w:pStyle w:val="BodyText"/>
      </w:pPr>
      <w:r>
        <w:t xml:space="preserve">Model Development</w:t>
      </w:r>
    </w:p>
    <w:p>
      <w:pPr>
        <w:pStyle w:val="BodyText"/>
      </w:pPr>
      <w:r>
        <w:t xml:space="preserve">Xd/2&gt;    x</w:t>
      </w:r>
    </w:p>
    <w:p>
      <w:pPr>
        <w:pStyle w:val="BodyText"/>
      </w:pPr>
      <w:r>
        <w:t xml:space="preserve">Xd  X</w:t>
      </w:r>
    </w:p>
    <w:p>
      <w:pPr>
        <w:pStyle w:val="BodyText"/>
      </w:pPr>
      <w:r>
        <w:t xml:space="preserve">Xd&amp;gt; &amp;lt;/tr&amp;amp;</w:t>
      </w:r>
    </w:p>
    <w:p>
      <w:pPr>
        <w:pStyle w:val="BodyText"/>
      </w:pPr>
      <w:r>
        <w:t xml:space="preserve">Simulation &amp; Validation</w:t>
      </w:r>
    </w:p>
    <w:p>
      <w:pPr>
        <w:pStyle w:val="BodyText"/>
      </w:pPr>
      <w:r>
        <w:t xml:space="preserve">X</w:t>
      </w:r>
    </w:p>
    <w:p>
      <w:pPr>
        <w:pStyle w:val="BodyText"/>
      </w:pPr>
      <w:r>
        <w:t xml:space="preserve">X</w:t>
      </w:r>
    </w:p>
    <w:bookmarkEnd w:id="26"/>
    <w:bookmarkStart w:id="27" w:name="conclusion"/>
    <w:p>
      <w:pPr>
        <w:pStyle w:val="Heading2"/>
      </w:pPr>
      <w:r>
        <w:t xml:space="preserve">8. Conclusion</w:t>
      </w:r>
    </w:p>
    <w:p>
      <w:pPr>
        <w:pStyle w:val="FirstParagraph"/>
      </w:pPr>
      <w:r>
        <w:t xml:space="preserve">This Thesis Proposal establishes a critical pathway for advancing electrical engineering solutions within the dynamic environment of Malaysia Kuala Lumpur. By focusing on smart grid integration, it addresses immediate infrastructure challenges while building long-term capacity for Electrical Engineer professionals who will lead Malaysia's energy transformation. The research transcends theoretical exercise – its outcomes will directly support Tenaga Nasional Berhad's Grid Modernization Program and contribute to creating a resilient, low-carbon power system for Kuala Lumpur's next decade of growth. As the nation positions itself as a regional energy leader, this study ensures that Malaysian Electrical Engineers are equipped with contextually relevant expertise to drive innovation in our capital city and beyond. The proposed framework represents not merely an academic contribution but a practical catalyst for sustainable urban development in Malaysia Kuala Lumpur.</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Smart Grid Integration for Urban Power Distribution in Malaysia Kuala Lumpur</dc:title>
  <dc:creator/>
  <dc:language>en</dc:language>
  <cp:keywords/>
  <dcterms:created xsi:type="dcterms:W3CDTF">2026-05-01T01:18:07Z</dcterms:created>
  <dcterms:modified xsi:type="dcterms:W3CDTF">2026-05-01T01:18:07Z</dcterms:modified>
</cp:coreProperties>
</file>

<file path=docProps/custom.xml><?xml version="1.0" encoding="utf-8"?>
<Properties xmlns="http://schemas.openxmlformats.org/officeDocument/2006/custom-properties" xmlns:vt="http://schemas.openxmlformats.org/officeDocument/2006/docPropsVTypes"/>
</file>