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Qatar</w:t>
      </w:r>
      <w:r>
        <w:t xml:space="preserve"> </w:t>
      </w:r>
      <w:r>
        <w:t xml:space="preserve">Doha</w:t>
      </w:r>
    </w:p>
    <w:bookmarkStart w:id="31" w:name="X23521de3fb02a490dd606341416dd6b466435f9"/>
    <w:p>
      <w:pPr>
        <w:pStyle w:val="Heading1"/>
      </w:pPr>
      <w:r>
        <w:t xml:space="preserve">Thesis Proposal: Enhancing Grid Resilience Through Smart Renewable Integration in Qatar Doha</w:t>
      </w:r>
    </w:p>
    <w:bookmarkStart w:id="20" w:name="introduction-and-background"/>
    <w:p>
      <w:pPr>
        <w:pStyle w:val="Heading2"/>
      </w:pPr>
      <w:r>
        <w:t xml:space="preserve">1. Introduction and Background</w:t>
      </w:r>
    </w:p>
    <w:p>
      <w:pPr>
        <w:pStyle w:val="FirstParagraph"/>
      </w:pPr>
      <w:r>
        <w:t xml:space="preserve">The State of Qatar has embarked on an ambitious journey toward energy sustainability, driven by its National Vision 2030 and commitments to reduce carbon emissions while maintaining economic growth. As the capital city, Doha serves as the epicenter of this transformation, with massive infrastructure projects like Lusail City and Hamad International Airport demanding robust power solutions. However, the rapid integration of renewable energy sources—particularly solar photovoltaics (PV)—into Qatar's grid presents unprecedented challenges for grid stability and operational efficiency. This</w:t>
      </w:r>
      <w:r>
        <w:t xml:space="preserve"> </w:t>
      </w:r>
      <w:r>
        <w:rPr>
          <w:bCs/>
          <w:b/>
        </w:rPr>
        <w:t xml:space="preserve">Thesis Proposal</w:t>
      </w:r>
      <w:r>
        <w:t xml:space="preserve"> </w:t>
      </w:r>
      <w:r>
        <w:t xml:space="preserve">addresses these critical gaps by developing a novel framework for smart renewable energy management specifically tailored to Doha's unique environmental and infrastructural context.</w:t>
      </w:r>
    </w:p>
    <w:p>
      <w:pPr>
        <w:pStyle w:val="BodyText"/>
      </w:pPr>
      <w:r>
        <w:t xml:space="preserve">Qatar's extreme climate, characterized by intense solar irradiance (averaging 6.5 kWh/m²/day) but also high dust accumulation rates, necessitates specialized engineering solutions not fully addressed in existing literature. Current grid operations in Doha rely heavily on fossil fuel-based generation, with renewable penetration below 10% despite Qatar's solar potential being among the world's highest. This creates a pressing need for an</w:t>
      </w:r>
      <w:r>
        <w:t xml:space="preserve"> </w:t>
      </w:r>
      <w:r>
        <w:rPr>
          <w:bCs/>
          <w:b/>
        </w:rPr>
        <w:t xml:space="preserve">Electrical Engineer</w:t>
      </w:r>
      <w:r>
        <w:t xml:space="preserve"> </w:t>
      </w:r>
      <w:r>
        <w:t xml:space="preserve">to design adaptive control systems that can manage intermittency while ensuring 24/7 power reliability for critical facilities in</w:t>
      </w:r>
      <w:r>
        <w:t xml:space="preserve"> </w:t>
      </w:r>
      <w:r>
        <w:rPr>
          <w:bCs/>
          <w:b/>
        </w:rPr>
        <w:t xml:space="preserve">Qatar Doha</w:t>
      </w:r>
      <w:r>
        <w:t xml:space="preserve">.</w:t>
      </w:r>
    </w:p>
    <w:bookmarkEnd w:id="20"/>
    <w:bookmarkStart w:id="21" w:name="Xf7cbc5602622f815ccba44d451e9f24053e528e"/>
    <w:p>
      <w:pPr>
        <w:pStyle w:val="Heading2"/>
      </w:pPr>
      <w:r>
        <w:t xml:space="preserve">2. Problem Statement and Research Objectives</w:t>
      </w:r>
    </w:p>
    <w:p>
      <w:pPr>
        <w:pStyle w:val="FirstParagraph"/>
      </w:pPr>
      <w:r>
        <w:t xml:space="preserve">The primary challenge lies in the lack of localized grid models capable of simulating Doha's specific conditions: high ambient temperatures (often exceeding 45°C), sandstorm events causing sudden power fluctuations, and the dense urban infrastructure surrounding major facilities like the Qatar National Convention Centre and Al Thakira Mangroves. Current grid management systems—adapted from European or North American models—fail to account for these variables, leading to inefficiencies that compromise grid resilience.</w:t>
      </w:r>
    </w:p>
    <w:p>
      <w:pPr>
        <w:pStyle w:val="BodyText"/>
      </w:pPr>
      <w:r>
        <w:t xml:space="preserve">This research proposes three core objectives:</w:t>
      </w:r>
    </w:p>
    <w:p>
      <w:pPr>
        <w:numPr>
          <w:ilvl w:val="0"/>
          <w:numId w:val="1001"/>
        </w:numPr>
        <w:pStyle w:val="Compact"/>
      </w:pPr>
      <w:r>
        <w:rPr>
          <w:bCs/>
          <w:b/>
        </w:rPr>
        <w:t xml:space="preserve">Develop a Doha-Specific Grid Simulation Model</w:t>
      </w:r>
      <w:r>
        <w:t xml:space="preserve"> </w:t>
      </w:r>
      <w:r>
        <w:t xml:space="preserve">incorporating real-time weather data, dust accumulation metrics, and load profiles from key Doha districts.</w:t>
      </w:r>
    </w:p>
    <w:p>
      <w:pPr>
        <w:numPr>
          <w:ilvl w:val="0"/>
          <w:numId w:val="1001"/>
        </w:numPr>
        <w:pStyle w:val="Compact"/>
      </w:pPr>
      <w:r>
        <w:rPr>
          <w:bCs/>
          <w:b/>
        </w:rPr>
        <w:t xml:space="preserve">Design an AI-Driven Dynamic Control System</w:t>
      </w:r>
      <w:r>
        <w:t xml:space="preserve"> </w:t>
      </w:r>
      <w:r>
        <w:t xml:space="preserve">for solar PV plants that automatically adjusts output during sandstorm events to prevent grid instability.</w:t>
      </w:r>
    </w:p>
    <w:p>
      <w:pPr>
        <w:numPr>
          <w:ilvl w:val="0"/>
          <w:numId w:val="1001"/>
        </w:numPr>
        <w:pStyle w:val="Compact"/>
      </w:pPr>
      <w:r>
        <w:rPr>
          <w:bCs/>
          <w:b/>
        </w:rPr>
        <w:t xml:space="preserve">Evaluate Economic Viability</w:t>
      </w:r>
      <w:r>
        <w:t xml:space="preserve"> </w:t>
      </w:r>
      <w:r>
        <w:t xml:space="preserve">of proposed solutions against Qatar's energy pricing structures, targeting a 25% reduction in grid stabilization costs by 2035.</w:t>
      </w:r>
    </w:p>
    <w:bookmarkEnd w:id="21"/>
    <w:bookmarkStart w:id="22" w:name="literature-review-key-gaps"/>
    <w:p>
      <w:pPr>
        <w:pStyle w:val="Heading2"/>
      </w:pPr>
      <w:r>
        <w:t xml:space="preserve">3. Literature Review (Key Gaps)</w:t>
      </w:r>
    </w:p>
    <w:p>
      <w:pPr>
        <w:pStyle w:val="FirstParagraph"/>
      </w:pPr>
      <w:r>
        <w:t xml:space="preserve">While global studies on grid integration exist (e.g., IEEE Transactions on Smart Grid), they neglect regional nuances of the Gulf. A 2023 study by Al-Thani et al. noted that 78% of solar projects in GCC countries face "grid inertia" issues during rapid cloud cover changes—yet Qatar-specific data remains scarce. Similarly, existing predictive maintenance models (e.g., Liu &amp; Chen, 2021) fail to factor in sand-induced soiling losses on PV panels, which can reduce output by up to 40% in Doha's environment. This research directly bridges these gaps by prioritizing</w:t>
      </w:r>
      <w:r>
        <w:t xml:space="preserve"> </w:t>
      </w:r>
      <w:r>
        <w:rPr>
          <w:bCs/>
          <w:b/>
        </w:rPr>
        <w:t xml:space="preserve">Qatar Doha</w:t>
      </w:r>
      <w:r>
        <w:t xml:space="preserve"> </w:t>
      </w:r>
      <w:r>
        <w:t xml:space="preserve">as the primary case study.</w:t>
      </w:r>
    </w:p>
    <w:bookmarkEnd w:id="22"/>
    <w:bookmarkStart w:id="26" w:name="methodology"/>
    <w:p>
      <w:pPr>
        <w:pStyle w:val="Heading2"/>
      </w:pPr>
      <w:r>
        <w:t xml:space="preserve">4. Methodology</w:t>
      </w:r>
    </w:p>
    <w:p>
      <w:pPr>
        <w:pStyle w:val="FirstParagraph"/>
      </w:pPr>
      <w:r>
        <w:t xml:space="preserve">The proposed approach adopts a three-phase methodology:</w:t>
      </w:r>
    </w:p>
    <w:bookmarkStart w:id="23" w:name="X95b64e02890f8c964c12b6b9e28f01d3cef5839"/>
    <w:p>
      <w:pPr>
        <w:pStyle w:val="Heading3"/>
      </w:pPr>
      <w:r>
        <w:t xml:space="preserve">Phase 1: Data Acquisition &amp; Modeling (Months 1-6)</w:t>
      </w:r>
    </w:p>
    <w:p>
      <w:pPr>
        <w:numPr>
          <w:ilvl w:val="0"/>
          <w:numId w:val="1002"/>
        </w:numPr>
        <w:pStyle w:val="Compact"/>
      </w:pPr>
      <w:r>
        <w:t xml:space="preserve">Collaborate with Qatar Electricity and Water Company (QEWC) to access Doha's grid data from 2020-2023.</w:t>
      </w:r>
    </w:p>
    <w:p>
      <w:pPr>
        <w:numPr>
          <w:ilvl w:val="0"/>
          <w:numId w:val="1002"/>
        </w:numPr>
        <w:pStyle w:val="Compact"/>
      </w:pPr>
      <w:r>
        <w:t xml:space="preserve">Deploy IoT sensors across Qatari solar farms (e.g., Al Kharsaah Solar Plant) measuring temperature, dust density, and real-time power fluctuations.</w:t>
      </w:r>
    </w:p>
    <w:p>
      <w:pPr>
        <w:numPr>
          <w:ilvl w:val="0"/>
          <w:numId w:val="1002"/>
        </w:numPr>
        <w:pStyle w:val="Compact"/>
      </w:pPr>
      <w:r>
        <w:t xml:space="preserve">Build a digital twin of Doha's grid using MATLAB/Simulink with climate-specific parameters.</w:t>
      </w:r>
    </w:p>
    <w:bookmarkEnd w:id="23"/>
    <w:bookmarkStart w:id="24" w:name="X733c9f6fc27090dd27d2d9e7ea33292d24ec4c2"/>
    <w:p>
      <w:pPr>
        <w:pStyle w:val="Heading3"/>
      </w:pPr>
      <w:r>
        <w:t xml:space="preserve">Phase 2: AI System Development (Months 7-15)</w:t>
      </w:r>
    </w:p>
    <w:p>
      <w:pPr>
        <w:numPr>
          <w:ilvl w:val="0"/>
          <w:numId w:val="1003"/>
        </w:numPr>
        <w:pStyle w:val="Compact"/>
      </w:pPr>
      <w:r>
        <w:t xml:space="preserve">Create a reinforcement learning algorithm trained on historical sandstorm events to predict grid impact within 5-minute windows.</w:t>
      </w:r>
    </w:p>
    <w:p>
      <w:pPr>
        <w:numPr>
          <w:ilvl w:val="0"/>
          <w:numId w:val="1003"/>
        </w:numPr>
        <w:pStyle w:val="Compact"/>
      </w:pPr>
      <w:r>
        <w:t xml:space="preserve">Integrate the system with existing SCADA infrastructure for real-time control of battery storage and demand-response systems.</w:t>
      </w:r>
    </w:p>
    <w:p>
      <w:pPr>
        <w:numPr>
          <w:ilvl w:val="0"/>
          <w:numId w:val="1003"/>
        </w:numPr>
        <w:pStyle w:val="Compact"/>
      </w:pPr>
      <w:r>
        <w:t xml:space="preserve">Test simulations under extreme scenarios (e.g., 48-hour sandstorms combined with peak summer loads).</w:t>
      </w:r>
    </w:p>
    <w:bookmarkEnd w:id="24"/>
    <w:bookmarkStart w:id="25" w:name="X66717834a5e41dec22eca214064bc5588c97e0c"/>
    <w:p>
      <w:pPr>
        <w:pStyle w:val="Heading3"/>
      </w:pPr>
      <w:r>
        <w:t xml:space="preserve">Phase 3: Validation &amp; Economic Analysis (Months 16-24)</w:t>
      </w:r>
    </w:p>
    <w:p>
      <w:pPr>
        <w:numPr>
          <w:ilvl w:val="0"/>
          <w:numId w:val="1004"/>
        </w:numPr>
        <w:pStyle w:val="Compact"/>
      </w:pPr>
      <w:r>
        <w:t xml:space="preserve">Conduct field trials at a pilot site in Doha Industrial Area, partnering with Qatar University's Smart Grid Lab.</w:t>
      </w:r>
    </w:p>
    <w:p>
      <w:pPr>
        <w:numPr>
          <w:ilvl w:val="0"/>
          <w:numId w:val="1004"/>
        </w:numPr>
        <w:pStyle w:val="Compact"/>
      </w:pPr>
      <w:r>
        <w:t xml:space="preserve">Compare proposed system against conventional grid management using KPIs: frequency deviation (&lt;0.5%), voltage stability (±2%), and cost per kWh stabilization.</w:t>
      </w:r>
    </w:p>
    <w:p>
      <w:pPr>
        <w:numPr>
          <w:ilvl w:val="0"/>
          <w:numId w:val="1004"/>
        </w:numPr>
        <w:pStyle w:val="Compact"/>
      </w:pPr>
      <w:r>
        <w:t xml:space="preserve">Perform cost-benefit analysis aligned with Qatar's National Energy Strategy 2035, including ROI calculations for utilities.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 scalable framework that directly advances Qatar's energy transition goals. As an</w:t>
      </w:r>
      <w:r>
        <w:t xml:space="preserve"> </w:t>
      </w:r>
      <w:r>
        <w:rPr>
          <w:bCs/>
          <w:b/>
        </w:rPr>
        <w:t xml:space="preserve">Electrical Engineer</w:t>
      </w:r>
      <w:r>
        <w:t xml:space="preserve">, the candidate will produce:</w:t>
      </w:r>
    </w:p>
    <w:p>
      <w:pPr>
        <w:numPr>
          <w:ilvl w:val="0"/>
          <w:numId w:val="1005"/>
        </w:numPr>
        <w:pStyle w:val="Compact"/>
      </w:pPr>
      <w:r>
        <w:t xml:space="preserve">A validated grid model specifically for Doha's climate, available as an open-source tool for Gulf utilities.</w:t>
      </w:r>
    </w:p>
    <w:p>
      <w:pPr>
        <w:numPr>
          <w:ilvl w:val="0"/>
          <w:numId w:val="1005"/>
        </w:numPr>
        <w:pStyle w:val="Compact"/>
      </w:pPr>
      <w:r>
        <w:t xml:space="preserve">An AI control algorithm proven to reduce grid instability events by ≥35% in simulated sandstorm conditions.</w:t>
      </w:r>
    </w:p>
    <w:p>
      <w:pPr>
        <w:numPr>
          <w:ilvl w:val="0"/>
          <w:numId w:val="1005"/>
        </w:numPr>
        <w:pStyle w:val="Compact"/>
      </w:pPr>
      <w:r>
        <w:t xml:space="preserve">Economic models demonstrating how renewable integration can lower stabilization costs by 25-40% for Doha's utilities—critical for Qatar's $1.7 billion solar investment plan.</w:t>
      </w:r>
    </w:p>
    <w:p>
      <w:pPr>
        <w:pStyle w:val="FirstParagraph"/>
      </w:pPr>
      <w:r>
        <w:t xml:space="preserve">The significance extends beyond technical innovation. Successful implementation will support Qatar's pledge to achieve carbon neutrality by 2050 while ensuring uninterrupted power for World Cup legacy infrastructure and expanding industries like data centers in Doha. This work positions the</w:t>
      </w:r>
      <w:r>
        <w:t xml:space="preserve"> </w:t>
      </w:r>
      <w:r>
        <w:rPr>
          <w:bCs/>
          <w:b/>
        </w:rPr>
        <w:t xml:space="preserve">Electrical Engineer</w:t>
      </w:r>
      <w:r>
        <w:t xml:space="preserve"> </w:t>
      </w:r>
      <w:r>
        <w:t xml:space="preserve">as a key contributor to Qatar's vision of becoming a global leader in sustainable energy solutions within the Middle East.</w:t>
      </w:r>
    </w:p>
    <w:bookmarkEnd w:id="27"/>
    <w:bookmarkStart w:id="28"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1-6</w:t>
            </w:r>
          </w:p>
        </w:tc>
        <w:tc>
          <w:tcPr/>
          <w:p>
            <w:pPr>
              <w:pStyle w:val="Compact"/>
              <w:jc w:val="left"/>
            </w:pPr>
            <w:r>
              <w:t xml:space="preserve">Doha Grid Digital Twin; Climate Data Repository (Qatar Doha Focus)</w:t>
            </w:r>
          </w:p>
        </w:tc>
      </w:tr>
      <w:tr>
        <w:tc>
          <w:tcPr/>
          <w:p>
            <w:pPr>
              <w:pStyle w:val="Compact"/>
              <w:jc w:val="left"/>
            </w:pPr>
            <w:r>
              <w:t xml:space="preserve">AI System Development</w:t>
            </w:r>
          </w:p>
        </w:tc>
        <w:tc>
          <w:tcPr/>
          <w:p>
            <w:pPr>
              <w:pStyle w:val="Compact"/>
              <w:jc w:val="left"/>
            </w:pPr>
            <w:r>
              <w:t xml:space="preserve">Months 7-15</w:t>
            </w:r>
          </w:p>
        </w:tc>
        <w:tc>
          <w:tcPr/>
          <w:p>
            <w:pPr>
              <w:pStyle w:val="Compact"/>
              <w:jc w:val="left"/>
            </w:pPr>
            <w:r>
              <w:t xml:space="preserve">Reinforcement Learning Algorithm; Simulation Test Reports</w:t>
            </w:r>
          </w:p>
        </w:tc>
      </w:tr>
      <w:tr>
        <w:tc>
          <w:tcPr/>
          <w:p>
            <w:pPr>
              <w:pStyle w:val="Compact"/>
              <w:jc w:val="left"/>
            </w:pPr>
            <w:r>
              <w:t xml:space="preserve">Validation &amp; Economic Analysis</w:t>
            </w:r>
          </w:p>
        </w:tc>
        <w:tc>
          <w:tcPr/>
          <w:p>
            <w:pPr>
              <w:pStyle w:val="Compact"/>
              <w:jc w:val="left"/>
            </w:pPr>
            <w:r>
              <w:t xml:space="preserve">Months 16-24</w:t>
            </w:r>
          </w:p>
        </w:tc>
        <w:tc>
          <w:tcPr/>
          <w:p>
            <w:pPr>
              <w:pStyle w:val="Compact"/>
              <w:jc w:val="left"/>
            </w:pPr>
            <w:r>
              <w:t xml:space="preserve">Pilot Site Report; Cost-Benefit Analysis; Open-Source Toolkit</w:t>
            </w:r>
          </w:p>
        </w:tc>
      </w:tr>
    </w:tbl>
    <w:bookmarkEnd w:id="28"/>
    <w:bookmarkStart w:id="29" w:name="conclusion"/>
    <w:p>
      <w:pPr>
        <w:pStyle w:val="Heading2"/>
      </w:pPr>
      <w:r>
        <w:t xml:space="preserve">7. Conclusion</w:t>
      </w:r>
    </w:p>
    <w:p>
      <w:pPr>
        <w:pStyle w:val="FirstParagraph"/>
      </w:pPr>
      <w:r>
        <w:t xml:space="preserve">In the dynamic energy landscape of</w:t>
      </w:r>
      <w:r>
        <w:t xml:space="preserve"> </w:t>
      </w:r>
      <w:r>
        <w:rPr>
          <w:bCs/>
          <w:b/>
        </w:rPr>
        <w:t xml:space="preserve">Qatar Doha</w:t>
      </w:r>
      <w:r>
        <w:t xml:space="preserve">, where solar potential meets urban complexity, this thesis provides a targeted path toward grid resilience. By centering the research on local challenges—sandstorms, extreme heat, and rapid infrastructure growth—the proposed work transcends generic renewable integration studies. The outcomes will empower future</w:t>
      </w:r>
      <w:r>
        <w:t xml:space="preserve"> </w:t>
      </w:r>
      <w:r>
        <w:rPr>
          <w:bCs/>
          <w:b/>
        </w:rPr>
        <w:t xml:space="preserve">Electrical Engineer</w:t>
      </w:r>
      <w:r>
        <w:t xml:space="preserve">s in Qatar to develop systems that are not only technologically advanced but culturally and environmentally embedded within Doha's unique context. This</w:t>
      </w:r>
      <w:r>
        <w:t xml:space="preserve"> </w:t>
      </w:r>
      <w:r>
        <w:rPr>
          <w:bCs/>
          <w:b/>
        </w:rPr>
        <w:t xml:space="preserve">Thesis Proposal</w:t>
      </w:r>
      <w:r>
        <w:t xml:space="preserve"> </w:t>
      </w:r>
      <w:r>
        <w:t xml:space="preserve">thus aligns with Qatar's national priorities while advancing global best practices for sustainable grid management in arid regions. The successful execution of this research promises to set a benchmark for energy systems worldwide facing similar climatic constraints.</w:t>
      </w:r>
    </w:p>
    <w:bookmarkEnd w:id="29"/>
    <w:bookmarkStart w:id="30" w:name="references-selected"/>
    <w:p>
      <w:pPr>
        <w:pStyle w:val="Heading2"/>
      </w:pPr>
      <w:r>
        <w:t xml:space="preserve">8. References (Selected)</w:t>
      </w:r>
    </w:p>
    <w:p>
      <w:pPr>
        <w:numPr>
          <w:ilvl w:val="0"/>
          <w:numId w:val="1006"/>
        </w:numPr>
        <w:pStyle w:val="Compact"/>
      </w:pPr>
      <w:r>
        <w:t xml:space="preserve">Qatar National Vision 2030, Government of Qatar (2021).</w:t>
      </w:r>
    </w:p>
    <w:p>
      <w:pPr>
        <w:numPr>
          <w:ilvl w:val="0"/>
          <w:numId w:val="1006"/>
        </w:numPr>
        <w:pStyle w:val="Compact"/>
      </w:pPr>
      <w:r>
        <w:t xml:space="preserve">Al-Thani, A., et al. (2023). "Grid Inertia Challenges in GCC Solar Integration." IEEE Transactions on Sustainable Energy.</w:t>
      </w:r>
    </w:p>
    <w:p>
      <w:pPr>
        <w:numPr>
          <w:ilvl w:val="0"/>
          <w:numId w:val="1006"/>
        </w:numPr>
        <w:pStyle w:val="Compact"/>
      </w:pPr>
      <w:r>
        <w:t xml:space="preserve">Qatar Energy Strategy 2035, Ministry of Energy &amp; Industry (2019).</w:t>
      </w:r>
    </w:p>
    <w:p>
      <w:pPr>
        <w:numPr>
          <w:ilvl w:val="0"/>
          <w:numId w:val="1006"/>
        </w:numPr>
        <w:pStyle w:val="Compact"/>
      </w:pPr>
      <w:r>
        <w:t xml:space="preserve">Mohamed, Y. A., &amp; El-Saadany, E. F. (2024). "Dust Impact on PV Performance in Desert Climates." Renewable Energy Journal.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Qatar Doha</dc:title>
  <dc:creator/>
  <dc:language>en</dc:language>
  <cp:keywords/>
  <dcterms:created xsi:type="dcterms:W3CDTF">2026-04-24T04:59:54Z</dcterms:created>
  <dcterms:modified xsi:type="dcterms:W3CDTF">2026-04-24T04:59:54Z</dcterms:modified>
</cp:coreProperties>
</file>

<file path=docProps/custom.xml><?xml version="1.0" encoding="utf-8"?>
<Properties xmlns="http://schemas.openxmlformats.org/officeDocument/2006/custom-properties" xmlns:vt="http://schemas.openxmlformats.org/officeDocument/2006/docPropsVTypes"/>
</file>