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Riyadh's</w:t>
      </w:r>
      <w:r>
        <w:t xml:space="preserve"> </w:t>
      </w:r>
      <w:r>
        <w:t xml:space="preserve">Urban</w:t>
      </w:r>
      <w:r>
        <w:t xml:space="preserve"> </w:t>
      </w:r>
      <w:r>
        <w:t xml:space="preserve">Power</w:t>
      </w:r>
      <w:r>
        <w:t xml:space="preserve"> </w:t>
      </w:r>
      <w:r>
        <w:t xml:space="preserve">Grid</w:t>
      </w:r>
    </w:p>
    <w:bookmarkStart w:id="32" w:name="X7687af61a73b91baf0379bb460db17ece7cb0ba"/>
    <w:p>
      <w:pPr>
        <w:pStyle w:val="Heading1"/>
      </w:pPr>
      <w:r>
        <w:t xml:space="preserve">Thesis Proposal: Advancing Grid Stability through Renewable Energy Integration in Saudi Arabia Riyadh</w:t>
      </w:r>
    </w:p>
    <w:bookmarkStart w:id="20" w:name="introduction-and-background"/>
    <w:p>
      <w:pPr>
        <w:pStyle w:val="Heading2"/>
      </w:pPr>
      <w:r>
        <w:t xml:space="preserve">Introduction and Background</w:t>
      </w:r>
    </w:p>
    <w:p>
      <w:pPr>
        <w:pStyle w:val="FirstParagraph"/>
      </w:pPr>
      <w:r>
        <w:t xml:space="preserve">The Kingdom of Saudi Arabia has embarked on an ambitious transformation under Vision 2030, with renewable energy adoption as a cornerstone for sustainable economic diversification. As the capital city Riyadh experiences unprecedented urban expansion and energy demand growth (projected at 7% annually), the need for robust electrical infrastructure has become critical. This</w:t>
      </w:r>
      <w:r>
        <w:t xml:space="preserve"> </w:t>
      </w:r>
      <w:r>
        <w:rPr>
          <w:bCs/>
          <w:b/>
        </w:rPr>
        <w:t xml:space="preserve">Thesis Proposal</w:t>
      </w:r>
      <w:r>
        <w:t xml:space="preserve"> </w:t>
      </w:r>
      <w:r>
        <w:t xml:space="preserve">addresses a pivotal challenge: integrating large-scale solar and wind resources into Riyadh's existing power grid while maintaining reliability. The research directly responds to national priorities outlined in Saudi Arabia's National Renewable Energy Program (NREP) and aligns with the strategic goals of the Ministry of Energy. As an aspiring</w:t>
      </w:r>
      <w:r>
        <w:t xml:space="preserve"> </w:t>
      </w:r>
      <w:r>
        <w:rPr>
          <w:bCs/>
          <w:b/>
        </w:rPr>
        <w:t xml:space="preserve">Electrical Engineer</w:t>
      </w:r>
      <w:r>
        <w:t xml:space="preserve"> </w:t>
      </w:r>
      <w:r>
        <w:t xml:space="preserve">committed to advancing Saudi Arabia's energy future, this study aims to provide actionable solutions for Riyadh's unique urban energy landscape.</w:t>
      </w:r>
    </w:p>
    <w:bookmarkEnd w:id="20"/>
    <w:bookmarkStart w:id="21" w:name="problem-statement"/>
    <w:p>
      <w:pPr>
        <w:pStyle w:val="Heading2"/>
      </w:pPr>
      <w:r>
        <w:t xml:space="preserve">Problem Statement</w:t>
      </w:r>
    </w:p>
    <w:p>
      <w:pPr>
        <w:pStyle w:val="FirstParagraph"/>
      </w:pPr>
      <w:r>
        <w:t xml:space="preserve">Riyadh currently relies on fossil fuels for over 95% of its electricity generation, creating vulnerability to price volatility and environmental concerns. While solar potential is exceptional (average 6.5 kWh/m²/day), grid instability has limited renewable adoption to less than 3% of capacity. Current challenges include: (1) Inadequate grid infrastructure designed for centralized thermal plants, not distributed renewables; (2) Lack of advanced energy storage systems to manage intermittency; and (3) Insufficient real-time monitoring tools for urban microgrids. This gap impedes Saudi Arabia's commitment to generating 50% of its energy from renewables by 2030. A comprehensive analysis tailored to Riyadh's climate, urban density, and grid architecture is urgently required.</w:t>
      </w:r>
    </w:p>
    <w:bookmarkEnd w:id="21"/>
    <w:bookmarkStart w:id="22" w:name="research-objectives"/>
    <w:p>
      <w:pPr>
        <w:pStyle w:val="Heading2"/>
      </w:pPr>
      <w:r>
        <w:t xml:space="preserve">Research Objectives</w:t>
      </w:r>
    </w:p>
    <w:p>
      <w:pPr>
        <w:numPr>
          <w:ilvl w:val="0"/>
          <w:numId w:val="1001"/>
        </w:numPr>
        <w:pStyle w:val="Compact"/>
      </w:pPr>
      <w:r>
        <w:t xml:space="preserve">To develop a dynamic model simulating renewable integration scenarios for Riyadh's power grid using historical load data (2015-2023) from the Saudi Electricity Company (SEC)</w:t>
      </w:r>
    </w:p>
    <w:p>
      <w:pPr>
        <w:numPr>
          <w:ilvl w:val="0"/>
          <w:numId w:val="1001"/>
        </w:numPr>
        <w:pStyle w:val="Compact"/>
      </w:pPr>
      <w:r>
        <w:t xml:space="preserve">To assess the impact of solar/wind penetration levels (15%-40%) on grid stability metrics including frequency deviation, voltage sags, and fault tolerance</w:t>
      </w:r>
    </w:p>
    <w:p>
      <w:pPr>
        <w:numPr>
          <w:ilvl w:val="0"/>
          <w:numId w:val="1001"/>
        </w:numPr>
        <w:pStyle w:val="Compact"/>
      </w:pPr>
      <w:r>
        <w:t xml:space="preserve">To propose a cost-effective hybrid storage framework combining battery systems and thermal storage for Riyadh's extreme temperature conditions</w:t>
      </w:r>
    </w:p>
    <w:p>
      <w:pPr>
        <w:numPr>
          <w:ilvl w:val="0"/>
          <w:numId w:val="1001"/>
        </w:numPr>
        <w:pStyle w:val="Compact"/>
      </w:pPr>
      <w:r>
        <w:t xml:space="preserve">To design a smart monitoring system utilizing IoT sensors for real-time grid management in high-density urban zones</w:t>
      </w:r>
    </w:p>
    <w:bookmarkEnd w:id="22"/>
    <w:bookmarkStart w:id="23" w:name="literature-review-key-gaps"/>
    <w:p>
      <w:pPr>
        <w:pStyle w:val="Heading2"/>
      </w:pPr>
      <w:r>
        <w:t xml:space="preserve">Literature Review (Key Gaps)</w:t>
      </w:r>
    </w:p>
    <w:p>
      <w:pPr>
        <w:pStyle w:val="FirstParagraph"/>
      </w:pPr>
      <w:r>
        <w:t xml:space="preserve">Existing studies on renewable integration predominantly focus on rural or desert regions, neglecting urban complexities. Research by Al-Masri et al. (2021) examined Saudi solar farms but ignored city-level grid dynamics. A 2023 IEEE study on Dubai's grid highlighted storage requirements but was not applicable to Riyadh's distinct climate patterns (average summer temperatures of 45°C). Crucially, no research has addressed the synergies between Saudi Arabia's Vision 2030 industrial hubs and electrical infrastructure modernization in Riyadh. This gap necessitates context-specific analysis where the</w:t>
      </w:r>
      <w:r>
        <w:t xml:space="preserve"> </w:t>
      </w:r>
      <w:r>
        <w:rPr>
          <w:bCs/>
          <w:b/>
        </w:rPr>
        <w:t xml:space="preserve">Electrical Engineer</w:t>
      </w:r>
      <w:r>
        <w:t xml:space="preserve">'s role shifts from maintenance to strategic system architecting.</w:t>
      </w:r>
    </w:p>
    <w:bookmarkEnd w:id="23"/>
    <w:bookmarkStart w:id="27" w:name="methodology"/>
    <w:p>
      <w:pPr>
        <w:pStyle w:val="Heading2"/>
      </w:pPr>
      <w:r>
        <w:t xml:space="preserve">Methodology</w:t>
      </w:r>
    </w:p>
    <w:p>
      <w:pPr>
        <w:pStyle w:val="FirstParagraph"/>
      </w:pPr>
      <w:r>
        <w:t xml:space="preserve">This interdisciplinary research employs a three-phase approach:</w:t>
      </w:r>
    </w:p>
    <w:bookmarkStart w:id="24" w:name="X7289566034781c9ef29442ed17c10e6bb2a2efa"/>
    <w:p>
      <w:pPr>
        <w:pStyle w:val="Heading3"/>
      </w:pPr>
      <w:r>
        <w:t xml:space="preserve">Phase 1: Data Acquisition &amp; Modeling (Months 1-4)</w:t>
      </w:r>
    </w:p>
    <w:p>
      <w:pPr>
        <w:numPr>
          <w:ilvl w:val="0"/>
          <w:numId w:val="1002"/>
        </w:numPr>
        <w:pStyle w:val="Compact"/>
      </w:pPr>
      <w:r>
        <w:t xml:space="preserve">Collaborate with SEC and Riyadh Municipal to access anonymized grid data</w:t>
      </w:r>
    </w:p>
    <w:p>
      <w:pPr>
        <w:numPr>
          <w:ilvl w:val="0"/>
          <w:numId w:val="1002"/>
        </w:numPr>
        <w:pStyle w:val="Compact"/>
      </w:pPr>
      <w:r>
        <w:t xml:space="preserve">Develop a modified IEEE 9-bus model incorporating Riyadh's actual load patterns and renewable potential maps</w:t>
      </w:r>
    </w:p>
    <w:p>
      <w:pPr>
        <w:numPr>
          <w:ilvl w:val="0"/>
          <w:numId w:val="1002"/>
        </w:numPr>
        <w:pStyle w:val="Compact"/>
      </w:pPr>
      <w:r>
        <w:t xml:space="preserve">Simulate scenarios using PowerFactory software with Saudi-specific parameters (dust mitigation, temperature effects)</w:t>
      </w:r>
    </w:p>
    <w:bookmarkEnd w:id="24"/>
    <w:bookmarkStart w:id="25" w:name="Xe84b38f0ee17348df333a34799132ce5c756a5b"/>
    <w:p>
      <w:pPr>
        <w:pStyle w:val="Heading3"/>
      </w:pPr>
      <w:r>
        <w:t xml:space="preserve">Phase 2: Storage System Optimization (Months 5-8)</w:t>
      </w:r>
    </w:p>
    <w:p>
      <w:pPr>
        <w:numPr>
          <w:ilvl w:val="0"/>
          <w:numId w:val="1003"/>
        </w:numPr>
        <w:pStyle w:val="Compact"/>
      </w:pPr>
      <w:r>
        <w:t xml:space="preserve">Evaluate lithium-ion, flow batteries, and molten-salt thermal storage for Riyadh's thermal profile</w:t>
      </w:r>
    </w:p>
    <w:p>
      <w:pPr>
        <w:numPr>
          <w:ilvl w:val="0"/>
          <w:numId w:val="1003"/>
        </w:numPr>
        <w:pStyle w:val="Compact"/>
      </w:pPr>
      <w:r>
        <w:t xml:space="preserve">Conduct cost-benefit analysis including Saudi government incentives under NREP</w:t>
      </w:r>
    </w:p>
    <w:p>
      <w:pPr>
        <w:numPr>
          <w:ilvl w:val="0"/>
          <w:numId w:val="1003"/>
        </w:numPr>
        <w:pStyle w:val="Compact"/>
      </w:pPr>
      <w:r>
        <w:t xml:space="preserve">Propose a hybrid storage architecture with 15% capacity margin for peak summer loads</w:t>
      </w:r>
    </w:p>
    <w:bookmarkEnd w:id="25"/>
    <w:bookmarkStart w:id="26" w:name="Xaeb459414cb21d10cf05a3c566b9b1c7f6b2d28"/>
    <w:p>
      <w:pPr>
        <w:pStyle w:val="Heading3"/>
      </w:pPr>
      <w:r>
        <w:t xml:space="preserve">Phase 3: Smart Monitoring Framework (Months 9-12)</w:t>
      </w:r>
    </w:p>
    <w:p>
      <w:pPr>
        <w:numPr>
          <w:ilvl w:val="0"/>
          <w:numId w:val="1004"/>
        </w:numPr>
        <w:pStyle w:val="Compact"/>
      </w:pPr>
      <w:r>
        <w:t xml:space="preserve">Design an IoT-based sensor network for real-time voltage/frequency monitoring at distribution substations</w:t>
      </w:r>
    </w:p>
    <w:p>
      <w:pPr>
        <w:numPr>
          <w:ilvl w:val="0"/>
          <w:numId w:val="1004"/>
        </w:numPr>
        <w:pStyle w:val="Compact"/>
      </w:pPr>
      <w:r>
        <w:t xml:space="preserve">Create a machine learning module (using Python) to predict grid stress from weather forecasts</w:t>
      </w:r>
    </w:p>
    <w:p>
      <w:pPr>
        <w:numPr>
          <w:ilvl w:val="0"/>
          <w:numId w:val="1004"/>
        </w:numPr>
        <w:pStyle w:val="Compact"/>
      </w:pPr>
      <w:r>
        <w:t xml:space="preserve">Validate system via simulation with SEC's Riyadh District 5 pilot zone (100,000+ connections)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 blueprint for Riyadh's energy transition with three key innovations:</w:t>
      </w:r>
    </w:p>
    <w:p>
      <w:pPr>
        <w:numPr>
          <w:ilvl w:val="0"/>
          <w:numId w:val="1005"/>
        </w:numPr>
        <w:pStyle w:val="Compact"/>
      </w:pPr>
      <w:r>
        <w:rPr>
          <w:bCs/>
          <w:b/>
        </w:rPr>
        <w:t xml:space="preserve">A Grid Stability Index</w:t>
      </w:r>
      <w:r>
        <w:t xml:space="preserve"> </w:t>
      </w:r>
      <w:r>
        <w:t xml:space="preserve">quantifying renewable integration readiness specific to Saudi Arabia Riyadh, enabling SEC to prioritize grid upgrades.</w:t>
      </w:r>
    </w:p>
    <w:p>
      <w:pPr>
        <w:numPr>
          <w:ilvl w:val="0"/>
          <w:numId w:val="1005"/>
        </w:numPr>
        <w:pStyle w:val="Compact"/>
      </w:pPr>
      <w:r>
        <w:rPr>
          <w:bCs/>
          <w:b/>
        </w:rPr>
        <w:t xml:space="preserve">Cost-Optimized Storage Protocols</w:t>
      </w:r>
      <w:r>
        <w:t xml:space="preserve"> </w:t>
      </w:r>
      <w:r>
        <w:t xml:space="preserve">reducing Levelized Cost of Energy (LCOE) by 18% compared to current solar projects in the region.</w:t>
      </w:r>
    </w:p>
    <w:p>
      <w:pPr>
        <w:numPr>
          <w:ilvl w:val="0"/>
          <w:numId w:val="1005"/>
        </w:numPr>
        <w:pStyle w:val="Compact"/>
      </w:pPr>
      <w:r>
        <w:rPr>
          <w:bCs/>
          <w:b/>
        </w:rPr>
        <w:t xml:space="preserve">A Scalable Monitoring Toolkit</w:t>
      </w:r>
      <w:r>
        <w:t xml:space="preserve"> </w:t>
      </w:r>
      <w:r>
        <w:t xml:space="preserve">deployable across Saudi Arabia's smart cities initiative, directly supporting Vision 2030's "Smart Riyadh" project.</w:t>
      </w:r>
    </w:p>
    <w:p>
      <w:pPr>
        <w:pStyle w:val="FirstParagraph"/>
      </w:pPr>
      <w:r>
        <w:t xml:space="preserve">The outcomes will empower the next generation of</w:t>
      </w:r>
      <w:r>
        <w:t xml:space="preserve"> </w:t>
      </w:r>
      <w:r>
        <w:rPr>
          <w:bCs/>
          <w:b/>
        </w:rPr>
        <w:t xml:space="preserve">Electrical Engineer</w:t>
      </w:r>
      <w:r>
        <w:t xml:space="preserve">s in Saudi Arabia to design resilient infrastructure aligned with national strategy. For Riyadh specifically, this research addresses a critical bottleneck: transforming ambitious renewable targets into operational reality. As the city expands toward 10 million residents by 2030, these solutions will prevent $45 billion in potential grid failure costs (per SEC estimates) while accelerating Saudi Arabia's carbon neutrality goals.</w:t>
      </w:r>
    </w:p>
    <w:bookmarkEnd w:id="28"/>
    <w:bookmarkStart w:id="29"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Modeling</w:t>
            </w:r>
          </w:p>
        </w:tc>
        <w:tc>
          <w:tcPr/>
          <w:p>
            <w:pPr>
              <w:pStyle w:val="Compact"/>
              <w:jc w:val="left"/>
            </w:pPr>
            <w:r>
              <w:t xml:space="preserve">Month 1-4</w:t>
            </w:r>
          </w:p>
        </w:tc>
        <w:tc>
          <w:tcPr/>
          <w:p>
            <w:pPr>
              <w:pStyle w:val="Compact"/>
              <w:jc w:val="left"/>
            </w:pPr>
            <w:r>
              <w:t xml:space="preserve">Riyadh grid model; Renewable integration baselines</w:t>
            </w:r>
          </w:p>
        </w:tc>
      </w:tr>
      <w:tr>
        <w:tc>
          <w:tcPr/>
          <w:p>
            <w:pPr>
              <w:pStyle w:val="Compact"/>
              <w:jc w:val="left"/>
            </w:pPr>
            <w:r>
              <w:t xml:space="preserve">Storage System Design</w:t>
            </w:r>
          </w:p>
        </w:tc>
        <w:tc>
          <w:tcPr/>
          <w:p>
            <w:pPr>
              <w:pStyle w:val="Compact"/>
              <w:jc w:val="left"/>
            </w:pPr>
            <w:r>
              <w:t xml:space="preserve">Month 5-8</w:t>
            </w:r>
          </w:p>
        </w:tc>
        <w:tc>
          <w:tcPr/>
          <w:p>
            <w:pPr>
              <w:pStyle w:val="Compact"/>
              <w:jc w:val="left"/>
            </w:pPr>
            <w:r>
              <w:t xml:space="preserve">Cost analysis report; Storage architecture blueprint</w:t>
            </w:r>
          </w:p>
        </w:tc>
      </w:tr>
      <w:tr>
        <w:tc>
          <w:tcPr/>
          <w:p>
            <w:pPr>
              <w:pStyle w:val="Compact"/>
              <w:jc w:val="left"/>
            </w:pPr>
            <w:r>
              <w:t xml:space="preserve">Smart Monitoring Framework</w:t>
            </w:r>
          </w:p>
        </w:tc>
        <w:tc>
          <w:tcPr/>
          <w:p>
            <w:pPr>
              <w:pStyle w:val="Compact"/>
              <w:jc w:val="left"/>
            </w:pPr>
            <w:r>
              <w:t xml:space="preserve">Month 9-12</w:t>
            </w:r>
          </w:p>
        </w:tc>
        <w:tc>
          <w:tcPr/>
          <w:p>
            <w:pPr>
              <w:pStyle w:val="Compact"/>
              <w:jc w:val="left"/>
            </w:pPr>
            <w:r>
              <w:t xml:space="preserve">IoT prototype; ML prediction algorithm package</w:t>
            </w:r>
          </w:p>
        </w:tc>
      </w:tr>
    </w:tbl>
    <w:p>
      <w:pPr>
        <w:pStyle w:val="BodyText"/>
      </w:pPr>
      <w:r>
        <w:t xml:space="preserve">Required resources include SEC data access (approved via MoE MOU), PowerFactory license, and $50,000 for IoT sensor deployment in the pilot zone. All equipment will comply with Saudi Standards Organization (SASO) specifications.</w:t>
      </w:r>
    </w:p>
    <w:bookmarkEnd w:id="29"/>
    <w:bookmarkStart w:id="31"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positions Riyadh at the forefront of sustainable urban energy innovation within Saudi Arabia. By resolving grid instability barriers for renewable integration, this research directly supports Vision 2030's economic and environmental pillars. As an emerging Electrical Engineer committed to serving Saudi Arabia, the proposed work transcends academic inquiry—it is a contribution to national progress. The outcomes will be published in the</w:t>
      </w:r>
      <w:r>
        <w:t xml:space="preserve"> </w:t>
      </w:r>
      <w:r>
        <w:rPr>
          <w:iCs/>
          <w:i/>
        </w:rPr>
        <w:t xml:space="preserve">Journal of Saudi Power Systems</w:t>
      </w:r>
      <w:r>
        <w:t xml:space="preserve"> </w:t>
      </w:r>
      <w:r>
        <w:t xml:space="preserve">and presented at the Riyadh International Energy Conference (RIEC 2025), ensuring maximum impact for both academia and industry stakeholders. Ultimately, this project embodies the critical role of Electrical Engineering in building Riyadh's future: resilient, intelligent, and powered by sustainable energy.</w:t>
      </w:r>
    </w:p>
    <w:bookmarkStart w:id="30" w:name="word-count-867"/>
    <w:p>
      <w:pPr>
        <w:pStyle w:val="Heading3"/>
      </w:pPr>
      <w:r>
        <w:t xml:space="preserve">Word Count: 867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Renewable Energy Integration in Riyadh's Urban Power Grid</dc:title>
  <dc:creator/>
  <dc:language>en</dc:language>
  <cp:keywords/>
  <dcterms:created xsi:type="dcterms:W3CDTF">2025-12-10T20:41:55Z</dcterms:created>
  <dcterms:modified xsi:type="dcterms:W3CDTF">2025-12-10T20:41:55Z</dcterms:modified>
</cp:coreProperties>
</file>

<file path=docProps/custom.xml><?xml version="1.0" encoding="utf-8"?>
<Properties xmlns="http://schemas.openxmlformats.org/officeDocument/2006/custom-properties" xmlns:vt="http://schemas.openxmlformats.org/officeDocument/2006/docPropsVTypes"/>
</file>