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p>
    <w:bookmarkStart w:id="30" w:name="X1f1f2369267b34ce3753d661106d23a6cc21e30"/>
    <w:p>
      <w:pPr>
        <w:pStyle w:val="Heading1"/>
      </w:pPr>
      <w:r>
        <w:t xml:space="preserve">Thesis Proposal: Advancing Smart Grid Integration for Sustainable Urban Development in Singapore</w:t>
      </w:r>
    </w:p>
    <w:bookmarkStart w:id="20" w:name="introduction"/>
    <w:p>
      <w:pPr>
        <w:pStyle w:val="Heading2"/>
      </w:pPr>
      <w:r>
        <w:t xml:space="preserve">Introduction</w:t>
      </w:r>
    </w:p>
    <w:p>
      <w:pPr>
        <w:pStyle w:val="FirstParagraph"/>
      </w:pPr>
      <w:r>
        <w:t xml:space="preserve">The rapid urbanization and economic growth of Singapore necessitate innovative solutions to ensure energy resilience and sustainability. As an aspiring Electrical Engineer, this Thesis Proposal outlines a research project addressing the critical challenge of integrating advanced smart grid technologies within Singapore's unique urban ecosystem. With limited land resources and a commitment to achieving net-zero emissions by 2050, the Republic faces complex energy management demands. This study positions the Electrical Engineer as a pivotal catalyst for transforming Singapore's energy infrastructure through cutting-edge research aligned with national priorities like the Energy Market Authority's (EMA) Smart Grid Roadmap and Singapore Green Plan 2030.</w:t>
      </w:r>
    </w:p>
    <w:bookmarkEnd w:id="20"/>
    <w:bookmarkStart w:id="21" w:name="problem-statement"/>
    <w:p>
      <w:pPr>
        <w:pStyle w:val="Heading2"/>
      </w:pPr>
      <w:r>
        <w:t xml:space="preserve">Problem Statement</w:t>
      </w:r>
    </w:p>
    <w:p>
      <w:pPr>
        <w:pStyle w:val="FirstParagraph"/>
      </w:pPr>
      <w:r>
        <w:t xml:space="preserve">Despite Singapore's leadership in urban innovation, its centralized power grid remains vulnerable to supply-demand mismatches exacerbated by rising renewable energy adoption and climate volatility. Current grid management lacks real-time adaptive capabilities required for integrating distributed energy resources (DERs) such as rooftop solar and electric vehicle (EV) charging networks. This gap threatens grid stability, increases carbon footprint, and hinders Singapore's sustainability goals. As a future Electrical Engineer operating within Singapore's regulatory framework, addressing this requires context-specific solutions that consider tropical climate challenges, high population density, and stringent safety standards mandated by the National Environment Agency (NEA).</w:t>
      </w:r>
    </w:p>
    <w:bookmarkEnd w:id="21"/>
    <w:bookmarkStart w:id="22" w:name="research-objectives"/>
    <w:p>
      <w:pPr>
        <w:pStyle w:val="Heading2"/>
      </w:pPr>
      <w:r>
        <w:t xml:space="preserve">Research Objectives</w:t>
      </w:r>
    </w:p>
    <w:p>
      <w:pPr>
        <w:numPr>
          <w:ilvl w:val="0"/>
          <w:numId w:val="1001"/>
        </w:numPr>
        <w:pStyle w:val="Compact"/>
      </w:pPr>
      <w:r>
        <w:t xml:space="preserve">To develop an AI-driven dynamic load forecasting model calibrated for Singapore's monsoonal weather patterns and peak-hour demand cycles.</w:t>
      </w:r>
    </w:p>
    <w:p>
      <w:pPr>
        <w:numPr>
          <w:ilvl w:val="0"/>
          <w:numId w:val="1001"/>
        </w:numPr>
        <w:pStyle w:val="Compact"/>
      </w:pPr>
      <w:r>
        <w:t xml:space="preserve">To design a decentralized control architecture enabling seamless integration of microgrids within Singapore's high-rise residential neighborhoods (e.g., Tengah New Town).</w:t>
      </w:r>
    </w:p>
    <w:p>
      <w:pPr>
        <w:numPr>
          <w:ilvl w:val="0"/>
          <w:numId w:val="1001"/>
        </w:numPr>
        <w:pStyle w:val="Compact"/>
      </w:pPr>
      <w:r>
        <w:t xml:space="preserve">To evaluate the economic viability and carbon reduction potential of proposed solutions through simulations replicating Jurong Island industrial cluster operations.</w:t>
      </w:r>
    </w:p>
    <w:bookmarkEnd w:id="22"/>
    <w:bookmarkStart w:id="23" w:name="literature-review"/>
    <w:p>
      <w:pPr>
        <w:pStyle w:val="Heading2"/>
      </w:pPr>
      <w:r>
        <w:t xml:space="preserve">Literature Review</w:t>
      </w:r>
    </w:p>
    <w:p>
      <w:pPr>
        <w:pStyle w:val="FirstParagraph"/>
      </w:pPr>
      <w:r>
        <w:t xml:space="preserve">Existing smart grid research often overlooks tropical urban contexts. Studies from Europe and North America (e.g., IEEE Transactions on Smart Grid, 2021) focus on rural settings with lower population densities, neglecting Singapore's constraints of space-limited substations and high load variability. Local efforts like the Singapore Power Group's Smart Grid Test Bed (2020) demonstrate promise but lack scalability for city-wide deployment. This Thesis Proposal bridges this gap by synthesizing global best practices with Singapore-specific data from EMA and NEA, ensuring relevance to our national energy ecosystem.</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Partner with SP Group and Sembcorp Energy to access 5 years of anonymized grid data from Singapore's national network, including weather patterns and consumer usage logs.</w:t>
      </w:r>
    </w:p>
    <w:p>
      <w:pPr>
        <w:numPr>
          <w:ilvl w:val="0"/>
          <w:numId w:val="1002"/>
        </w:numPr>
        <w:pStyle w:val="Compact"/>
      </w:pPr>
      <w:r>
        <w:rPr>
          <w:bCs/>
          <w:b/>
        </w:rPr>
        <w:t xml:space="preserve">AI Model Development:</w:t>
      </w:r>
      <w:r>
        <w:t xml:space="preserve"> </w:t>
      </w:r>
      <w:r>
        <w:t xml:space="preserve">Train LSTM neural networks using Python (TensorFlow) on Singapore-specific datasets to predict demand fluctuations during hawker center peak hours and monsoon seasons.</w:t>
      </w:r>
    </w:p>
    <w:p>
      <w:pPr>
        <w:numPr>
          <w:ilvl w:val="0"/>
          <w:numId w:val="1002"/>
        </w:numPr>
        <w:pStyle w:val="Compact"/>
      </w:pPr>
      <w:r>
        <w:rPr>
          <w:bCs/>
          <w:b/>
        </w:rPr>
        <w:t xml:space="preserve">Simulation &amp; Validation:</w:t>
      </w:r>
      <w:r>
        <w:t xml:space="preserve"> </w:t>
      </w:r>
      <w:r>
        <w:t xml:space="preserve">Test control algorithms in DIGI-Grid, Singapore's digital twin platform, simulating scenarios like 30% rooftop solar penetration in Punggol Digital District.</w:t>
      </w:r>
    </w:p>
    <w:p>
      <w:pPr>
        <w:numPr>
          <w:ilvl w:val="0"/>
          <w:numId w:val="1002"/>
        </w:numPr>
        <w:pStyle w:val="Compact"/>
      </w:pPr>
      <w:r>
        <w:rPr>
          <w:bCs/>
          <w:b/>
        </w:rPr>
        <w:t xml:space="preserve">Economic Analysis:</w:t>
      </w:r>
      <w:r>
        <w:t xml:space="preserve"> </w:t>
      </w:r>
      <w:r>
        <w:t xml:space="preserve">Apply cost-benefit frameworks from the International Renewable Energy Agency (IRENA) to quantify ROI for Singaporean utility operators.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Electrical Engineer profession in Singapore:</w:t>
      </w:r>
    </w:p>
    <w:p>
      <w:pPr>
        <w:numPr>
          <w:ilvl w:val="0"/>
          <w:numId w:val="1003"/>
        </w:numPr>
        <w:pStyle w:val="Compact"/>
      </w:pPr>
      <w:r>
        <w:rPr>
          <w:bCs/>
          <w:b/>
        </w:rPr>
        <w:t xml:space="preserve">Technical Innovation:</w:t>
      </w:r>
      <w:r>
        <w:t xml:space="preserve"> </w:t>
      </w:r>
      <w:r>
        <w:t xml:space="preserve">A first-of-its-kind adaptive grid controller optimized for tropical urban environments, addressing Singapore's unique challenges of high humidity impacting electrical components.</w:t>
      </w:r>
    </w:p>
    <w:p>
      <w:pPr>
        <w:numPr>
          <w:ilvl w:val="0"/>
          <w:numId w:val="1003"/>
        </w:numPr>
        <w:pStyle w:val="Compact"/>
      </w:pPr>
      <w:r>
        <w:rPr>
          <w:bCs/>
          <w:b/>
        </w:rPr>
        <w:t xml:space="preserve">National Impact:</w:t>
      </w:r>
      <w:r>
        <w:t xml:space="preserve"> </w:t>
      </w:r>
      <w:r>
        <w:t xml:space="preserve">Direct alignment with the EMA's 2030 Smart Grid Strategy, supporting Singapore's target to have 7.5 GWp of solar energy installed by 2030 through enhanced DER integration.</w:t>
      </w:r>
    </w:p>
    <w:p>
      <w:pPr>
        <w:numPr>
          <w:ilvl w:val="0"/>
          <w:numId w:val="1003"/>
        </w:numPr>
        <w:pStyle w:val="Compact"/>
      </w:pPr>
      <w:r>
        <w:rPr>
          <w:bCs/>
          <w:b/>
        </w:rPr>
        <w:t xml:space="preserve">Professional Development:</w:t>
      </w:r>
      <w:r>
        <w:t xml:space="preserve"> </w:t>
      </w:r>
      <w:r>
        <w:t xml:space="preserve">Equipping the Electrical Engineer with advanced skills in AI-driven grid management—a critical competency for roles at agencies like NEA and companies such as Keppel Corporation, which is expanding renewable energy projects across Southeast Asia.</w:t>
      </w:r>
    </w:p>
    <w:bookmarkEnd w:id="25"/>
    <w:bookmarkStart w:id="26" w:name="significance-to-singapore"/>
    <w:p>
      <w:pPr>
        <w:pStyle w:val="Heading2"/>
      </w:pPr>
      <w:r>
        <w:t xml:space="preserve">Significance to Singapore</w:t>
      </w:r>
    </w:p>
    <w:p>
      <w:pPr>
        <w:pStyle w:val="FirstParagraph"/>
      </w:pPr>
      <w:r>
        <w:t xml:space="preserve">Singapore's position as a global hub demands energy systems that are both reliable and environmentally responsible. This research directly supports national initiatives:</w:t>
      </w:r>
    </w:p>
    <w:p>
      <w:pPr>
        <w:numPr>
          <w:ilvl w:val="0"/>
          <w:numId w:val="1004"/>
        </w:numPr>
        <w:pStyle w:val="Compact"/>
      </w:pPr>
      <w:r>
        <w:t xml:space="preserve">Enabling 50% reduction in grid downtime during peak demand seasons, minimizing economic losses estimated at SGD $120M annually (EMA, 2023).</w:t>
      </w:r>
    </w:p>
    <w:p>
      <w:pPr>
        <w:numPr>
          <w:ilvl w:val="0"/>
          <w:numId w:val="1004"/>
        </w:numPr>
        <w:pStyle w:val="Compact"/>
      </w:pPr>
      <w:r>
        <w:t xml:space="preserve">Accelerating Singapore's transition to a low-carbon economy by optimizing solar energy utilization, which currently operates at only 48% capacity due to grid constraints.</w:t>
      </w:r>
    </w:p>
    <w:p>
      <w:pPr>
        <w:numPr>
          <w:ilvl w:val="0"/>
          <w:numId w:val="1004"/>
        </w:numPr>
        <w:pStyle w:val="Compact"/>
      </w:pPr>
      <w:r>
        <w:t xml:space="preserve">Providing actionable insights for the Smart Nation Sensor Platform, where electrical infrastructure data can inform broader urban planning decisions across housing and transport sectors.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Months 1-3</w:t>
            </w:r>
          </w:p>
        </w:tc>
        <w:tc>
          <w:tcPr/>
          <w:p>
            <w:pPr>
              <w:pStyle w:val="Compact"/>
              <w:jc w:val="left"/>
            </w:pPr>
            <w:r>
              <w:t xml:space="preserve">Singapore-specific grid data repository; Regulatory compliance documentation</w:t>
            </w:r>
          </w:p>
        </w:tc>
      </w:tr>
      <w:tr>
        <w:tc>
          <w:tcPr/>
          <w:p>
            <w:pPr>
              <w:pStyle w:val="Compact"/>
              <w:jc w:val="left"/>
            </w:pPr>
            <w:r>
              <w:t xml:space="preserve">AI Model Development &amp; Simulation</w:t>
            </w:r>
          </w:p>
        </w:tc>
        <w:tc>
          <w:tcPr/>
          <w:p>
            <w:pPr>
              <w:pStyle w:val="Compact"/>
              <w:jc w:val="left"/>
            </w:pPr>
            <w:r>
              <w:t xml:space="preserve">Months 4-8</w:t>
            </w:r>
          </w:p>
        </w:tc>
        <w:tc>
          <w:tcPr/>
          <w:p>
            <w:pPr>
              <w:pStyle w:val="Compact"/>
              <w:jc w:val="left"/>
            </w:pPr>
            <w:r>
              <w:t xml:space="preserve">Forecasting algorithm; DIGI-Grid validation report</w:t>
            </w:r>
          </w:p>
        </w:tc>
      </w:tr>
      <w:tr>
        <w:tc>
          <w:tcPr/>
          <w:p>
            <w:pPr>
              <w:pStyle w:val="Compact"/>
              <w:jc w:val="left"/>
            </w:pPr>
            <w:r>
              <w:t xml:space="preserve">Economic Viability Assessment</w:t>
            </w:r>
          </w:p>
        </w:tc>
        <w:tc>
          <w:tcPr/>
          <w:p>
            <w:pPr>
              <w:pStyle w:val="Compact"/>
              <w:jc w:val="left"/>
            </w:pPr>
            <w:r>
              <w:t xml:space="preserve">Months 9-10</w:t>
            </w:r>
          </w:p>
        </w:tc>
        <w:tc>
          <w:tcPr/>
          <w:p>
            <w:pPr>
              <w:pStyle w:val="Compact"/>
              <w:jc w:val="left"/>
            </w:pPr>
            <w:r>
              <w:t xml:space="preserve">Cost-benefit analysis for EMA and SP Group stakeholders</w:t>
            </w:r>
          </w:p>
        </w:tc>
      </w:tr>
      <w:tr>
        <w:tc>
          <w:tcPr/>
          <w:p>
            <w:pPr>
              <w:pStyle w:val="Compact"/>
              <w:jc w:val="left"/>
            </w:pPr>
            <w:r>
              <w:t xml:space="preserve">Dissertation Writing &amp; Industry Engagement</w:t>
            </w:r>
          </w:p>
        </w:tc>
        <w:tc>
          <w:tcPr/>
          <w:p>
            <w:pPr>
              <w:pStyle w:val="Compact"/>
              <w:jc w:val="left"/>
            </w:pPr>
            <w:r>
              <w:t xml:space="preserve">Months 11-12</w:t>
            </w:r>
          </w:p>
        </w:tc>
        <w:tc>
          <w:tcPr/>
          <w:p>
            <w:pPr>
              <w:pStyle w:val="Compact"/>
              <w:jc w:val="left"/>
            </w:pPr>
            <w:r>
              <w:t xml:space="preserve">Thesis Proposal completion; White paper for Singapore Energy Summit 2025</w:t>
            </w:r>
          </w:p>
        </w:tc>
      </w:tr>
    </w:tbl>
    <w:bookmarkEnd w:id="27"/>
    <w:bookmarkStart w:id="29" w:name="conclusion"/>
    <w:p>
      <w:pPr>
        <w:pStyle w:val="Heading2"/>
      </w:pPr>
      <w:r>
        <w:t xml:space="preserve">Conclusion</w:t>
      </w:r>
    </w:p>
    <w:p>
      <w:pPr>
        <w:pStyle w:val="FirstParagraph"/>
      </w:pPr>
      <w:r>
        <w:t xml:space="preserve">This Thesis Proposal establishes a vital pathway for the Electrical Engineer to lead Singapore's energy transformation. By centering research on local conditions—from monsoon-affected grid components to high-rise community energy systems—it ensures practical applicability within Singapore's constrained urban landscape. The project transcends academic inquiry; it is a strategic contribution to national sustainability goals, directly supporting initiatives like the SolarNova Programme and enhancing Singapore's reputation as a smart city innovator. As an Electrical Engineer emerging from this research, I will be equipped to design resilient energy systems that power Singapore's future while setting benchmarks for urban centers worldwide facing similar challenges. This work embodies the critical role of engineering excellence in securing a sustainable tomorrow for Singapore.</w:t>
      </w:r>
    </w:p>
    <w:bookmarkStart w:id="28" w:name="references"/>
    <w:p>
      <w:pPr>
        <w:pStyle w:val="Heading3"/>
      </w:pPr>
      <w:r>
        <w:t xml:space="preserve">References</w:t>
      </w:r>
    </w:p>
    <w:p>
      <w:pPr>
        <w:numPr>
          <w:ilvl w:val="0"/>
          <w:numId w:val="1005"/>
        </w:numPr>
        <w:pStyle w:val="Compact"/>
      </w:pPr>
      <w:r>
        <w:t xml:space="preserve">Energy Market Authority (EMA). (2023). *Smart Grid Strategy 2030*. Singapore: EMA Publications.</w:t>
      </w:r>
    </w:p>
    <w:p>
      <w:pPr>
        <w:numPr>
          <w:ilvl w:val="0"/>
          <w:numId w:val="1005"/>
        </w:numPr>
        <w:pStyle w:val="Compact"/>
      </w:pPr>
      <w:r>
        <w:t xml:space="preserve">Singapore Green Plan 2030. (2021). Ministry of Sustainability and the Environment, Singapore.</w:t>
      </w:r>
    </w:p>
    <w:p>
      <w:pPr>
        <w:numPr>
          <w:ilvl w:val="0"/>
          <w:numId w:val="1005"/>
        </w:numPr>
        <w:pStyle w:val="Compact"/>
      </w:pPr>
      <w:r>
        <w:t xml:space="preserve">International Renewable Energy Agency (IRENA). (2022). *Cost of Renewable Energy in Southeast Asia*. Abu Dhabi: IRENA.</w:t>
      </w:r>
    </w:p>
    <w:p>
      <w:pPr>
        <w:numPr>
          <w:ilvl w:val="0"/>
          <w:numId w:val="1005"/>
        </w:numPr>
        <w:pStyle w:val="Compact"/>
      </w:pPr>
      <w:r>
        <w:t xml:space="preserve">SP Group. (2020). *Smart Grid Test Bed Report*. Singapore: SP PowerAssets Limited.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Singapore</dc:title>
  <dc:creator/>
  <dc:language>en</dc:language>
  <cp:keywords/>
  <dcterms:created xsi:type="dcterms:W3CDTF">2026-07-19T20:48:07Z</dcterms:created>
  <dcterms:modified xsi:type="dcterms:W3CDTF">2026-07-19T20:48:07Z</dcterms:modified>
</cp:coreProperties>
</file>

<file path=docProps/custom.xml><?xml version="1.0" encoding="utf-8"?>
<Properties xmlns="http://schemas.openxmlformats.org/officeDocument/2006/custom-properties" xmlns:vt="http://schemas.openxmlformats.org/officeDocument/2006/docPropsVTypes"/>
</file>