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Power</w:t>
      </w:r>
      <w:r>
        <w:t xml:space="preserve"> </w:t>
      </w:r>
      <w:r>
        <w:t xml:space="preserve">Systems</w:t>
      </w:r>
      <w:r>
        <w:t xml:space="preserve"> </w:t>
      </w:r>
      <w:r>
        <w:t xml:space="preserve">in</w:t>
      </w:r>
      <w:r>
        <w:t xml:space="preserve"> </w:t>
      </w:r>
      <w:r>
        <w:t xml:space="preserve">Sudan</w:t>
      </w:r>
      <w:r>
        <w:t xml:space="preserve"> </w:t>
      </w:r>
      <w:r>
        <w:t xml:space="preserve">Khartoum</w:t>
      </w:r>
    </w:p>
    <w:bookmarkStart w:id="30" w:name="Xf5d7e8373c5bfc363b051fde99a417a93c176d4"/>
    <w:p>
      <w:pPr>
        <w:pStyle w:val="Heading1"/>
      </w:pPr>
      <w:r>
        <w:t xml:space="preserve">Thesis Proposal: Enhancing Renewable Energy Integration and Grid Resilience in Urban Power Systems of Sudan Khartoum</w:t>
      </w:r>
    </w:p>
    <w:bookmarkStart w:id="20" w:name="introduction-and-background"/>
    <w:p>
      <w:pPr>
        <w:pStyle w:val="Heading2"/>
      </w:pPr>
      <w:r>
        <w:t xml:space="preserve">1. Introduction and Background</w:t>
      </w:r>
    </w:p>
    <w:p>
      <w:pPr>
        <w:pStyle w:val="FirstParagraph"/>
      </w:pPr>
      <w:r>
        <w:t xml:space="preserve">The Kingdom of Sudan, particularly its capital city Khartoum, faces critical challenges in electricity supply due to aging infrastructure, increasing urban population, and frequent power outages. As an aspiring Electrical Engineer in Sudan Khartoum, I recognize that the current energy crisis disproportionately impacts economic development and daily life. The National Energy Policy of Sudan (2019) highlights a 45% deficit in peak demand coverage, with Khartoum experiencing up to 16 hours of daily power interruptions during dry seasons. This Thesis Proposal addresses this urgent need by designing a sustainable grid integration framework specifically tailored for Khartoum's unique environmental and socio-economic context. My research aims to position the Electrical Engineer as a pivotal agent in transforming Sudan's energy landscape through localized, renewable-centric solutions.</w:t>
      </w:r>
    </w:p>
    <w:bookmarkEnd w:id="20"/>
    <w:bookmarkStart w:id="21" w:name="problem-statement"/>
    <w:p>
      <w:pPr>
        <w:pStyle w:val="Heading2"/>
      </w:pPr>
      <w:r>
        <w:t xml:space="preserve">2. Problem Statement</w:t>
      </w:r>
    </w:p>
    <w:p>
      <w:pPr>
        <w:pStyle w:val="FirstParagraph"/>
      </w:pPr>
      <w:r>
        <w:t xml:space="preserve">Khartoum’s electricity infrastructure, built during colonial-era expansion with minimal maintenance since 1950s, struggles with 30% technical losses and inadequate capacity. Current solar/wind pilot projects remain fragmented due to poor grid synchronization and lack of standardized engineering protocols. This disconnect between renewable potential (Sudan receives 6-7 kWh/m²/day solar irradiance) and implementation creates a critical gap: Sudan Khartoum’s Electrical Engineer must evolve beyond traditional grid maintenance to become a system integrator for distributed energy resources (DERs). Without context-specific solutions, investment in renewables fails to deliver reliable power, undermining both national development goals and the professional credibility of the Electrical Engineer across Sudan.</w:t>
      </w:r>
    </w:p>
    <w:bookmarkEnd w:id="21"/>
    <w:bookmarkStart w:id="22" w:name="literature-review-synthesis"/>
    <w:p>
      <w:pPr>
        <w:pStyle w:val="Heading2"/>
      </w:pPr>
      <w:r>
        <w:t xml:space="preserve">3. Literature Review Synthesis</w:t>
      </w:r>
    </w:p>
    <w:p>
      <w:pPr>
        <w:pStyle w:val="FirstParagraph"/>
      </w:pPr>
      <w:r>
        <w:t xml:space="preserve">Global studies (e.g., IRENA 2023) demonstrate that successful renewable integration requires localized grid codes addressing voltage stability in low-inertia systems. However, research from Sub-Saharan Africa (Mukasa et al., 2021) shows standardized Western frameworks fail in contexts with high solar variability and informal grid connections—common in Khartoum’s peri-urban zones. Prior Sudanese studies (Ahmed, 2020) focused on rural mini-grids but ignored urban challenges like load diversity across commercial/industrial/residential sectors. This Thesis Proposal bridges this gap by adapting international best practices to Sudan Khartoum’s specific grid topology and socio-technical conditions, positioning the Electrical Engineer as a solution designer rather than a passive implementer.</w:t>
      </w:r>
    </w:p>
    <w:bookmarkEnd w:id="22"/>
    <w:bookmarkStart w:id="23" w:name="research-objectives"/>
    <w:p>
      <w:pPr>
        <w:pStyle w:val="Heading2"/>
      </w:pPr>
      <w:r>
        <w:t xml:space="preserve">4. Research Objectives</w:t>
      </w:r>
    </w:p>
    <w:p>
      <w:pPr>
        <w:pStyle w:val="FirstParagraph"/>
      </w:pPr>
      <w:r>
        <w:t xml:space="preserve">This Thesis Proposal outlines three interdependent objectives:</w:t>
      </w:r>
    </w:p>
    <w:p>
      <w:pPr>
        <w:numPr>
          <w:ilvl w:val="0"/>
          <w:numId w:val="1001"/>
        </w:numPr>
        <w:pStyle w:val="Compact"/>
      </w:pPr>
      <w:r>
        <w:rPr>
          <w:bCs/>
          <w:b/>
        </w:rPr>
        <w:t xml:space="preserve">System Mapping:</w:t>
      </w:r>
      <w:r>
        <w:t xml:space="preserve"> </w:t>
      </w:r>
      <w:r>
        <w:t xml:space="preserve">Document Khartoum’s existing grid architecture, identifying 5 critical fault zones (e.g., Kobar substation, Omdurman residential corridors) through field surveys and utility data analysis.</w:t>
      </w:r>
    </w:p>
    <w:p>
      <w:pPr>
        <w:numPr>
          <w:ilvl w:val="0"/>
          <w:numId w:val="1001"/>
        </w:numPr>
        <w:pStyle w:val="Compact"/>
      </w:pPr>
      <w:r>
        <w:rPr>
          <w:bCs/>
          <w:b/>
        </w:rPr>
        <w:t xml:space="preserve">Solution Design:</w:t>
      </w:r>
      <w:r>
        <w:t xml:space="preserve"> </w:t>
      </w:r>
      <w:r>
        <w:t xml:space="preserve">Develop a DER integration protocol for 30–50 kW solar microgrids using Khartoum-specific parameters (dust accumulation rates, seasonal load patterns), validated via MATLAB/Simulink.</w:t>
      </w:r>
    </w:p>
    <w:p>
      <w:pPr>
        <w:numPr>
          <w:ilvl w:val="0"/>
          <w:numId w:val="1001"/>
        </w:numPr>
        <w:pStyle w:val="Compact"/>
      </w:pPr>
      <w:r>
        <w:rPr>
          <w:bCs/>
          <w:b/>
        </w:rPr>
        <w:t xml:space="preserve">Stakeholder Framework:</w:t>
      </w:r>
      <w:r>
        <w:t xml:space="preserve"> </w:t>
      </w:r>
      <w:r>
        <w:t xml:space="preserve">Create a training module for Sudanese Electrical Engineers on grid synchronization techniques, co-designed with the Sudan Electricity Corporation (SEC) and Khartoum University.</w:t>
      </w:r>
    </w:p>
    <w:bookmarkEnd w:id="23"/>
    <w:bookmarkStart w:id="24" w:name="methodology"/>
    <w:p>
      <w:pPr>
        <w:pStyle w:val="Heading2"/>
      </w:pPr>
      <w:r>
        <w:t xml:space="preserve">5. Methodology</w:t>
      </w:r>
    </w:p>
    <w:p>
      <w:pPr>
        <w:pStyle w:val="FirstParagraph"/>
      </w:pPr>
      <w:r>
        <w:t xml:space="preserve">A mixed-methods approach will be employed across six phases:</w:t>
      </w:r>
    </w:p>
    <w:p>
      <w:pPr>
        <w:numPr>
          <w:ilvl w:val="0"/>
          <w:numId w:val="1002"/>
        </w:numPr>
        <w:pStyle w:val="Compact"/>
      </w:pPr>
      <w:r>
        <w:rPr>
          <w:bCs/>
          <w:b/>
        </w:rPr>
        <w:t xml:space="preserve">Phase 1 (Months 1–3):</w:t>
      </w:r>
      <w:r>
        <w:t xml:space="preserve"> </w:t>
      </w:r>
      <w:r>
        <w:t xml:space="preserve">Collaborate with SEC’s Khartoum branch to collect grid performance data and conduct 50+ site visits across high-outage zones.</w:t>
      </w:r>
    </w:p>
    <w:p>
      <w:pPr>
        <w:numPr>
          <w:ilvl w:val="0"/>
          <w:numId w:val="1002"/>
        </w:numPr>
        <w:pStyle w:val="Compact"/>
      </w:pPr>
      <w:r>
        <w:rPr>
          <w:bCs/>
          <w:b/>
        </w:rPr>
        <w:t xml:space="preserve">Phase 2 (Months 4–6):</w:t>
      </w:r>
      <w:r>
        <w:t xml:space="preserve"> </w:t>
      </w:r>
      <w:r>
        <w:t xml:space="preserve">Simulate grid dynamics under varying solar penetration using Khartoum’s climate database (Sudan Meteorological Authority).</w:t>
      </w:r>
    </w:p>
    <w:p>
      <w:pPr>
        <w:numPr>
          <w:ilvl w:val="0"/>
          <w:numId w:val="1002"/>
        </w:numPr>
        <w:pStyle w:val="Compact"/>
      </w:pPr>
      <w:r>
        <w:rPr>
          <w:bCs/>
          <w:b/>
        </w:rPr>
        <w:t xml:space="preserve">Phase 3 (Months 7–9):</w:t>
      </w:r>
      <w:r>
        <w:t xml:space="preserve"> </w:t>
      </w:r>
      <w:r>
        <w:t xml:space="preserve">Prototype a grid-friendly inverter control algorithm optimized for high-dust environments.</w:t>
      </w:r>
    </w:p>
    <w:p>
      <w:pPr>
        <w:numPr>
          <w:ilvl w:val="0"/>
          <w:numId w:val="1002"/>
        </w:numPr>
        <w:pStyle w:val="Compact"/>
      </w:pPr>
      <w:r>
        <w:rPr>
          <w:bCs/>
          <w:b/>
        </w:rPr>
        <w:t xml:space="preserve">Phase 4 (Months 10–12):</w:t>
      </w:r>
      <w:r>
        <w:t xml:space="preserve"> </w:t>
      </w:r>
      <w:r>
        <w:t xml:space="preserve">Test the prototype at SEC’s Khartoum test facility, measuring voltage flicker and frequency deviation.</w:t>
      </w:r>
    </w:p>
    <w:p>
      <w:pPr>
        <w:numPr>
          <w:ilvl w:val="0"/>
          <w:numId w:val="1002"/>
        </w:numPr>
        <w:pStyle w:val="Compact"/>
      </w:pPr>
      <w:r>
        <w:rPr>
          <w:bCs/>
          <w:b/>
        </w:rPr>
        <w:t xml:space="preserve">Phase 5 (Months 13–14):</w:t>
      </w:r>
      <w:r>
        <w:t xml:space="preserve"> </w:t>
      </w:r>
      <w:r>
        <w:t xml:space="preserve">Co-develop training materials with Khartoum University’s Electrical Engineering Department.</w:t>
      </w:r>
    </w:p>
    <w:p>
      <w:pPr>
        <w:numPr>
          <w:ilvl w:val="0"/>
          <w:numId w:val="1002"/>
        </w:numPr>
        <w:pStyle w:val="Compact"/>
      </w:pPr>
      <w:r>
        <w:rPr>
          <w:bCs/>
          <w:b/>
        </w:rPr>
        <w:t xml:space="preserve">Phase 6 (Month 15):</w:t>
      </w:r>
      <w:r>
        <w:t xml:space="preserve"> </w:t>
      </w:r>
      <w:r>
        <w:t xml:space="preserve">Disseminate findings via SEC workshops and a peer-reviewed journal on African energy systems.</w:t>
      </w:r>
    </w:p>
    <w:bookmarkEnd w:id="24"/>
    <w:bookmarkStart w:id="25" w:name="significance-for-sudan-khartoum"/>
    <w:p>
      <w:pPr>
        <w:pStyle w:val="Heading2"/>
      </w:pPr>
      <w:r>
        <w:t xml:space="preserve">6. Significance for Sudan Khartoum</w:t>
      </w:r>
    </w:p>
    <w:p>
      <w:pPr>
        <w:pStyle w:val="FirstParagraph"/>
      </w:pPr>
      <w:r>
        <w:t xml:space="preserve">This Thesis Proposal directly addresses Sudan’s Energy Transition Strategy (2030), targeting 35% renewable electricity by 2030. Successful implementation would: (1) Reduce outage duration in Khartoum by ≥40% through decentralized renewables, (2) Establish a replicable model for other African cities facing similar grid constraints, and (3) Elevate the role of the Sudanese Electrical Engineer from troubleshooter to system architect. Crucially, it prioritizes local capacity building—ensuring solutions remain sustainable after project completion. As Sudan Khartoum expands its population toward 10 million by 2035, this research provides an engineering roadmap to prevent energy poverty from becoming a development bottleneck.</w:t>
      </w:r>
    </w:p>
    <w:bookmarkEnd w:id="25"/>
    <w:bookmarkStart w:id="26" w:name="expected-outcomes"/>
    <w:p>
      <w:pPr>
        <w:pStyle w:val="Heading2"/>
      </w:pPr>
      <w:r>
        <w:t xml:space="preserve">7. Expected Outcomes</w:t>
      </w:r>
    </w:p>
    <w:p>
      <w:pPr>
        <w:pStyle w:val="FirstParagraph"/>
      </w:pPr>
      <w:r>
        <w:t xml:space="preserve">The Thesis Proposal anticipates three tangible deliverables: (1) A validated DER grid integration protocol for Sudan’s climate conditions, published as a technical guideline; (2) A digital toolkit enabling Electrical Engineers in Sudan Khartoum to simulate grid impacts of new renewable projects; and (3) Certified training modules adopted by SEC and universities. These outcomes align with the African Union’s Agenda 2063 goals for clean energy access. Critically, they empower the Sudanese Electrical Engineer to lead national energy transformation—not as a foreign consultant’s delegate, but as an indigenous innovator.</w:t>
      </w:r>
    </w:p>
    <w:bookmarkEnd w:id="26"/>
    <w:bookmarkStart w:id="27" w:name="timeline-and-resource-plan"/>
    <w:p>
      <w:pPr>
        <w:pStyle w:val="Heading2"/>
      </w:pPr>
      <w:r>
        <w:t xml:space="preserve">8. Timeline and Resource Plan</w:t>
      </w:r>
    </w:p>
    <w:p>
      <w:pPr>
        <w:pStyle w:val="FirstParagraph"/>
      </w:pPr>
      <w:r>
        <w:t xml:space="preserve">The 15-month timeline prioritizes Khartoum-relevant milestones: Months 1–3 focus on local data gathering to avoid costly misalignment with reality; Months 7–9 leverage SEC’s Khartoum lab facilities for rapid prototyping; Month 15 targets SEC leadership for policy adoption. Resources include access to SEC’s historical outage databases, Khartoum University’s renewable energy lab, and partnerships with Sudanese NGOs like Green Sudan Initiative. Budget requests prioritize fieldwork in Khartoum (transport, sensors) over imported software—ensuring cost-effective local relevance.</w:t>
      </w:r>
    </w:p>
    <w:bookmarkEnd w:id="27"/>
    <w:bookmarkStart w:id="28" w:name="conclusion"/>
    <w:p>
      <w:pPr>
        <w:pStyle w:val="Heading2"/>
      </w:pPr>
      <w:r>
        <w:t xml:space="preserve">9. Conclusion</w:t>
      </w:r>
    </w:p>
    <w:p>
      <w:pPr>
        <w:pStyle w:val="FirstParagraph"/>
      </w:pPr>
      <w:r>
        <w:t xml:space="preserve">This Thesis Proposal establishes the foundational research needed to transform Khartoum’s power system into a resilient, renewable-powered network. As an Electrical Engineer committed to Sudan Khartoum, I assert that sustainable energy solutions must emerge from local context—not imported templates. By designing for dust resilience, load diversity, and institutional capacity in our own city, this project positions the Sudanese Electrical Engineer as the indispensable catalyst for national energy security. The outcomes will not merely complete an academic requirement but actively contribute to a future where Khartoum’s streets are lit by solar power engineered by its own people—proving that in Sudan Khartoum, innovation is born from understanding home.</w:t>
      </w:r>
    </w:p>
    <w:bookmarkEnd w:id="28"/>
    <w:bookmarkStart w:id="29" w:name="references"/>
    <w:p>
      <w:pPr>
        <w:pStyle w:val="Heading2"/>
      </w:pPr>
      <w:r>
        <w:t xml:space="preserve">10. References</w:t>
      </w:r>
    </w:p>
    <w:p>
      <w:pPr>
        <w:numPr>
          <w:ilvl w:val="0"/>
          <w:numId w:val="1003"/>
        </w:numPr>
        <w:pStyle w:val="Compact"/>
      </w:pPr>
      <w:r>
        <w:t xml:space="preserve">Ahmed, S. (2020). *Rural Electrification Models in Sudan*. Khartoum University Press.</w:t>
      </w:r>
    </w:p>
    <w:p>
      <w:pPr>
        <w:numPr>
          <w:ilvl w:val="0"/>
          <w:numId w:val="1003"/>
        </w:numPr>
        <w:pStyle w:val="Compact"/>
      </w:pPr>
      <w:r>
        <w:t xml:space="preserve">IRENA. (2023). *Renewable Energy Integration: Lessons from Sub-Saharan Africa*. Abu Dhabi.</w:t>
      </w:r>
    </w:p>
    <w:p>
      <w:pPr>
        <w:numPr>
          <w:ilvl w:val="0"/>
          <w:numId w:val="1003"/>
        </w:numPr>
        <w:pStyle w:val="Compact"/>
      </w:pPr>
      <w:r>
        <w:t xml:space="preserve">Sudan Electricity Corporation. (2021). *Khartoum Grid Performance Report*.</w:t>
      </w:r>
    </w:p>
    <w:p>
      <w:pPr>
        <w:numPr>
          <w:ilvl w:val="0"/>
          <w:numId w:val="1003"/>
        </w:numPr>
        <w:pStyle w:val="Compact"/>
      </w:pPr>
      <w:r>
        <w:t xml:space="preserve">Mukasa, D. et al. (2021). "Grid Codes for Urban Renewable Integration." *Journal of African Energy Engineering*, 8(3), 45–67.</w:t>
      </w:r>
    </w:p>
    <w:p>
      <w:pPr>
        <w:numPr>
          <w:ilvl w:val="0"/>
          <w:numId w:val="1003"/>
        </w:numPr>
        <w:pStyle w:val="Compact"/>
      </w:pPr>
      <w:r>
        <w:t xml:space="preserve">Sudan National Energy Policy. (2019). Republic of Sudan Ministry of Electricity.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Electrical Engineering Solutions for Sustainable Power Systems in Sudan Khartoum</dc:title>
  <dc:creator/>
  <dc:language>en</dc:language>
  <cp:keywords/>
  <dcterms:created xsi:type="dcterms:W3CDTF">2026-07-14T01:37:07Z</dcterms:created>
  <dcterms:modified xsi:type="dcterms:W3CDTF">2026-07-14T01:37:07Z</dcterms:modified>
</cp:coreProperties>
</file>

<file path=docProps/custom.xml><?xml version="1.0" encoding="utf-8"?>
<Properties xmlns="http://schemas.openxmlformats.org/officeDocument/2006/custom-properties" xmlns:vt="http://schemas.openxmlformats.org/officeDocument/2006/docPropsVTypes"/>
</file>