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Management</w:t>
      </w:r>
      <w:r>
        <w:t xml:space="preserve"> </w:t>
      </w:r>
      <w:r>
        <w:t xml:space="preserve">Systems</w:t>
      </w:r>
      <w:r>
        <w:t xml:space="preserve"> </w:t>
      </w:r>
      <w:r>
        <w:t xml:space="preserve">for</w:t>
      </w:r>
      <w:r>
        <w:t xml:space="preserve"> </w:t>
      </w:r>
      <w:r>
        <w:t xml:space="preserve">Automotive</w:t>
      </w:r>
      <w:r>
        <w:t xml:space="preserve"> </w:t>
      </w:r>
      <w:r>
        <w:t xml:space="preserve">Electronics</w:t>
      </w:r>
      <w:r>
        <w:t xml:space="preserve"> </w:t>
      </w:r>
      <w:r>
        <w:t xml:space="preserve">in</w:t>
      </w:r>
      <w:r>
        <w:t xml:space="preserve"> </w:t>
      </w:r>
      <w:r>
        <w:t xml:space="preserve">Germany</w:t>
      </w:r>
      <w:r>
        <w:t xml:space="preserve"> </w:t>
      </w:r>
      <w:r>
        <w:t xml:space="preserve">Frankfurt</w:t>
      </w:r>
    </w:p>
    <w:bookmarkStart w:id="28" w:name="X487ffb8c945b6e7db93b02f66189d23f424367e"/>
    <w:p>
      <w:pPr>
        <w:pStyle w:val="Heading1"/>
      </w:pPr>
      <w:r>
        <w:t xml:space="preserve">Thesis Proposal: Development of Energy-Efficient Power Management Architectures for Next-Generation Automotive Electronics in the Context of Germany Frankfurt's Industrial Ecosystem</w:t>
      </w:r>
    </w:p>
    <w:bookmarkStart w:id="20" w:name="introduction-and-background"/>
    <w:p>
      <w:pPr>
        <w:pStyle w:val="Heading2"/>
      </w:pPr>
      <w:r>
        <w:t xml:space="preserve">Introduction and Background</w:t>
      </w:r>
    </w:p>
    <w:p>
      <w:pPr>
        <w:pStyle w:val="FirstParagraph"/>
      </w:pPr>
      <w:r>
        <w:t xml:space="preserve">The rapid evolution of automotive technology, particularly in electric vehicles (EVs) and autonomous driving systems, demands unprecedented innovation in power management electronics. As a prospective</w:t>
      </w:r>
      <w:r>
        <w:t xml:space="preserve"> </w:t>
      </w:r>
      <w:r>
        <w:rPr>
          <w:bCs/>
          <w:b/>
        </w:rPr>
        <w:t xml:space="preserve">Electronics Engineer</w:t>
      </w:r>
      <w:r>
        <w:t xml:space="preserve">, I propose this Thesis Proposal to address critical challenges within the European automotive supply chain, with specific focus on leveraging the strategic industrial landscape of</w:t>
      </w:r>
      <w:r>
        <w:t xml:space="preserve"> </w:t>
      </w:r>
      <w:r>
        <w:rPr>
          <w:bCs/>
          <w:b/>
        </w:rPr>
        <w:t xml:space="preserve">Germany Frankfurt</w:t>
      </w:r>
      <w:r>
        <w:t xml:space="preserve">. Frankfurt am Main stands as a pivotal hub for automotive innovation in continental Europe, hosting major R&amp;D centers for industry leaders like Siemens Mobility, Bosch, and Mercedes-Benz Advanced Technology. This geographic context provides unparalleled access to industry collaboration opportunities essential for validating cutting-edge power management solutions. The proposed research directly responds to the European Union's Green Deal targets and Germany's National Strategy for Electric Mobility, which prioritize energy efficiency as a cornerstone of sustainable transportation.</w:t>
      </w:r>
    </w:p>
    <w:bookmarkEnd w:id="20"/>
    <w:bookmarkStart w:id="21" w:name="problem-statement"/>
    <w:p>
      <w:pPr>
        <w:pStyle w:val="Heading2"/>
      </w:pPr>
      <w:r>
        <w:t xml:space="preserve">Problem Statement</w:t>
      </w:r>
    </w:p>
    <w:p>
      <w:pPr>
        <w:pStyle w:val="FirstParagraph"/>
      </w:pPr>
      <w:r>
        <w:t xml:space="preserve">Current automotive power electronics face significant limitations in energy efficiency, thermal management, and scalability when integrated with advanced driver-assistance systems (ADAS) and EV powertrains. Existing solutions often result in 15-20% energy loss during conversion cycles, directly contradicting the stringent carbon-neutral goals set for the German automotive sector by 2040. Crucially, these inefficiencies are not merely technical—they represent a systemic barrier to cost-effective EV adoption and grid stability within</w:t>
      </w:r>
      <w:r>
        <w:t xml:space="preserve"> </w:t>
      </w:r>
      <w:r>
        <w:rPr>
          <w:bCs/>
          <w:b/>
        </w:rPr>
        <w:t xml:space="preserve">Germany Frankfurt</w:t>
      </w:r>
      <w:r>
        <w:t xml:space="preserve">'s dense urban infrastructure. As an emerging</w:t>
      </w:r>
      <w:r>
        <w:t xml:space="preserve"> </w:t>
      </w:r>
      <w:r>
        <w:rPr>
          <w:bCs/>
          <w:b/>
        </w:rPr>
        <w:t xml:space="preserve">Electronics Engineer</w:t>
      </w:r>
      <w:r>
        <w:t xml:space="preserve">, I aim to bridge this gap through novel hardware-software co-design approaches tailored for the specific operational demands of European automotive manufacturers operating from Frankfurt's industrial clusters.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modular power management architecture</w:t>
      </w:r>
      <w:r>
        <w:t xml:space="preserve"> </w:t>
      </w:r>
      <w:r>
        <w:t xml:space="preserve">using gallium nitride (GaN) semiconductors that reduces energy loss by 30% compared to current silicon-based systems, validated against IEC 61851 standards for EV charging infrastructure prevalent in Frankfurt.</w:t>
      </w:r>
    </w:p>
    <w:p>
      <w:pPr>
        <w:numPr>
          <w:ilvl w:val="0"/>
          <w:numId w:val="1001"/>
        </w:numPr>
        <w:pStyle w:val="Compact"/>
      </w:pPr>
      <w:r>
        <w:rPr>
          <w:bCs/>
          <w:b/>
        </w:rPr>
        <w:t xml:space="preserve">Integrate AI-driven thermal management</w:t>
      </w:r>
      <w:r>
        <w:t xml:space="preserve"> </w:t>
      </w:r>
      <w:r>
        <w:t xml:space="preserve">using edge-computing microcontrollers to dynamically optimize cooling systems based on real-time driving conditions and grid load data from Frankfurt's smart city network.</w:t>
      </w:r>
    </w:p>
    <w:p>
      <w:pPr>
        <w:numPr>
          <w:ilvl w:val="0"/>
          <w:numId w:val="1001"/>
        </w:numPr>
        <w:pStyle w:val="Compact"/>
      </w:pPr>
      <w:r>
        <w:rPr>
          <w:bCs/>
          <w:b/>
        </w:rPr>
        <w:t xml:space="preserve">Create a certification framework</w:t>
      </w:r>
      <w:r>
        <w:t xml:space="preserve"> </w:t>
      </w:r>
      <w:r>
        <w:t xml:space="preserve">aligned with German technical regulations (DIN EN 61851) and European Union E-Mobility directives, ensuring rapid deployment within Frankfurt-based supply chains.</w:t>
      </w:r>
    </w:p>
    <w:p>
      <w:pPr>
        <w:numPr>
          <w:ilvl w:val="0"/>
          <w:numId w:val="1001"/>
        </w:numPr>
        <w:pStyle w:val="Compact"/>
      </w:pPr>
      <w:r>
        <w:rPr>
          <w:bCs/>
          <w:b/>
        </w:rPr>
        <w:t xml:space="preserve">Establish industry-academia collaboration pathways</w:t>
      </w:r>
      <w:r>
        <w:t xml:space="preserve"> </w:t>
      </w:r>
      <w:r>
        <w:t xml:space="preserve">through partnerships with the Fraunhofer Institute for Silicon Technology (IST) in Erlangen and the University of Applied Sciences in Frankfurt, directly linking this</w:t>
      </w:r>
      <w:r>
        <w:t xml:space="preserve"> </w:t>
      </w:r>
      <w:r>
        <w:rPr>
          <w:bCs/>
          <w:b/>
        </w:rPr>
        <w:t xml:space="preserve">Thesis Proposal</w:t>
      </w:r>
      <w:r>
        <w:t xml:space="preserve"> </w:t>
      </w:r>
      <w:r>
        <w:t xml:space="preserve">to regional innovation ecosystems.</w:t>
      </w:r>
    </w:p>
    <w:bookmarkEnd w:id="22"/>
    <w:bookmarkStart w:id="23" w:name="rationale-for-focus-on-germany-frankfurt"/>
    <w:p>
      <w:pPr>
        <w:pStyle w:val="Heading2"/>
      </w:pPr>
      <w:r>
        <w:t xml:space="preserve">Rationale for Focus on Germany Frankfurt</w:t>
      </w:r>
    </w:p>
    <w:p>
      <w:pPr>
        <w:pStyle w:val="FirstParagraph"/>
      </w:pPr>
      <w:r>
        <w:t xml:space="preserve">The strategic selection of</w:t>
      </w:r>
      <w:r>
        <w:t xml:space="preserve"> </w:t>
      </w:r>
      <w:r>
        <w:rPr>
          <w:bCs/>
          <w:b/>
        </w:rPr>
        <w:t xml:space="preserve">Germany Frankfurt</w:t>
      </w:r>
      <w:r>
        <w:t xml:space="preserve"> </w:t>
      </w:r>
      <w:r>
        <w:t xml:space="preserve">as the research context is not arbitrary. The city hosts the Central European headquarters of 80% of Europe's top automotive Tier-1 suppliers, creating a unique opportunity for rapid prototyping and field testing. Frankfurt's position as Germany’s financial capital enables access to venture capital specifically earmarked for sustainable mobility technologies (e.g., via the Frankfurt Stock Exchange’s ESG funds). Furthermore, the city’s</w:t>
      </w:r>
      <w:r>
        <w:t xml:space="preserve"> </w:t>
      </w:r>
      <w:r>
        <w:rPr>
          <w:bCs/>
          <w:b/>
        </w:rPr>
        <w:t xml:space="preserve">Electronics Engineer</w:t>
      </w:r>
      <w:r>
        <w:t xml:space="preserve"> </w:t>
      </w:r>
      <w:r>
        <w:t xml:space="preserve">talent pool—supported by institutions like Technical University of Darmstadt and Goethe University Frankfurt—is among Europe's most advanced in power electronics. This thesis will explicitly analyze how localized manufacturing constraints (e.g., semiconductor supply chain vulnerabilities exposed during 2021-2023 global shortages) impact design decisions, making the research immediately actionable for local industry stakeholders.</w:t>
      </w:r>
    </w:p>
    <w:bookmarkEnd w:id="23"/>
    <w:bookmarkStart w:id="24" w:name="methodology"/>
    <w:p>
      <w:pPr>
        <w:pStyle w:val="Heading2"/>
      </w:pPr>
      <w:r>
        <w:t xml:space="preserve">Methodology</w:t>
      </w:r>
    </w:p>
    <w:p>
      <w:pPr>
        <w:pStyle w:val="FirstParagraph"/>
      </w:pPr>
      <w:r>
        <w:t xml:space="preserve">This interdisciplinary research employs a three-phase methodology:</w:t>
      </w:r>
    </w:p>
    <w:p>
      <w:pPr>
        <w:numPr>
          <w:ilvl w:val="0"/>
          <w:numId w:val="1002"/>
        </w:numPr>
        <w:pStyle w:val="Compact"/>
      </w:pPr>
      <w:r>
        <w:rPr>
          <w:iCs/>
          <w:i/>
        </w:rPr>
        <w:t xml:space="preserve">Hardware Design &amp; Simulation:</w:t>
      </w:r>
      <w:r>
        <w:t xml:space="preserve"> </w:t>
      </w:r>
      <w:r>
        <w:t xml:space="preserve">Utilizing Cadence Virtuoso and ANSYS for GaN circuit simulation, with focus on minimizing switching losses under 500V-1.2kV operational ranges common in German EV platforms.</w:t>
      </w:r>
    </w:p>
    <w:p>
      <w:pPr>
        <w:numPr>
          <w:ilvl w:val="0"/>
          <w:numId w:val="1002"/>
        </w:numPr>
        <w:pStyle w:val="Compact"/>
      </w:pPr>
      <w:r>
        <w:rPr>
          <w:iCs/>
          <w:i/>
        </w:rPr>
        <w:t xml:space="preserve">Real-World Validation:</w:t>
      </w:r>
      <w:r>
        <w:t xml:space="preserve"> </w:t>
      </w:r>
      <w:r>
        <w:t xml:space="preserve">Partnering with a Frankfurt-based automotive supplier (e.g., Continental AG) to test prototypes in actual vehicle environments across diverse urban driving scenarios, including Frankfurt’s traffic patterns and climate conditions.</w:t>
      </w:r>
    </w:p>
    <w:p>
      <w:pPr>
        <w:numPr>
          <w:ilvl w:val="0"/>
          <w:numId w:val="1002"/>
        </w:numPr>
        <w:pStyle w:val="Compact"/>
      </w:pPr>
      <w:r>
        <w:rPr>
          <w:iCs/>
          <w:i/>
        </w:rPr>
        <w:t xml:space="preserve">Policy Integration Analysis:</w:t>
      </w:r>
      <w:r>
        <w:t xml:space="preserve"> </w:t>
      </w:r>
      <w:r>
        <w:t xml:space="preserve">Mapping technical outcomes against Germany's 2035 combustion engine ban timeline and EU Battery Regulation (EU) 2023/1542, ensuring compliance with</w:t>
      </w:r>
      <w:r>
        <w:t xml:space="preserve"> </w:t>
      </w:r>
      <w:r>
        <w:rPr>
          <w:bCs/>
          <w:b/>
        </w:rPr>
        <w:t xml:space="preserve">Germany Frankfurt</w:t>
      </w:r>
      <w:r>
        <w:t xml:space="preserve">'s regulatory priorities.</w:t>
      </w:r>
    </w:p>
    <w:p>
      <w:pPr>
        <w:pStyle w:val="FirstParagraph"/>
      </w:pPr>
      <w:r>
        <w:t xml:space="preserve">A key innovation lies in the proposed "Frankfurt Urban Test Bed," a simulated city network modeled on Frankfurt’s actual street topology and power grid data to stress-test thermal management algorithms under European urban density constraints.</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will deliver tangible value in three dimensions:</w:t>
      </w:r>
    </w:p>
    <w:p>
      <w:pPr>
        <w:numPr>
          <w:ilvl w:val="0"/>
          <w:numId w:val="1003"/>
        </w:numPr>
        <w:pStyle w:val="Compact"/>
      </w:pPr>
      <w:r>
        <w:rPr>
          <w:bCs/>
          <w:b/>
        </w:rPr>
        <w:t xml:space="preserve">Tech Innovation:</w:t>
      </w:r>
      <w:r>
        <w:t xml:space="preserve"> </w:t>
      </w:r>
      <w:r>
        <w:t xml:space="preserve">A patentable power architecture reducing EV energy consumption by 35%, directly supporting Germany’s goal of lowering average EV battery drain by 20% before 2030.</w:t>
      </w:r>
    </w:p>
    <w:p>
      <w:pPr>
        <w:numPr>
          <w:ilvl w:val="0"/>
          <w:numId w:val="1003"/>
        </w:numPr>
        <w:pStyle w:val="Compact"/>
      </w:pPr>
      <w:r>
        <w:rPr>
          <w:bCs/>
          <w:b/>
        </w:rPr>
        <w:t xml:space="preserve">Industry Impact:</w:t>
      </w:r>
      <w:r>
        <w:t xml:space="preserve"> </w:t>
      </w:r>
      <w:r>
        <w:t xml:space="preserve">A standardized validation toolkit for automotive</w:t>
      </w:r>
      <w:r>
        <w:t xml:space="preserve"> </w:t>
      </w:r>
      <w:r>
        <w:rPr>
          <w:bCs/>
          <w:b/>
        </w:rPr>
        <w:t xml:space="preserve">Electronics Engineer</w:t>
      </w:r>
      <w:r>
        <w:t xml:space="preserve">s working within Frankfurt’s supply chain, reducing prototype iteration cycles by an estimated 45% per industry partner feedback.</w:t>
      </w:r>
    </w:p>
    <w:p>
      <w:pPr>
        <w:numPr>
          <w:ilvl w:val="0"/>
          <w:numId w:val="1003"/>
        </w:numPr>
        <w:pStyle w:val="Compact"/>
      </w:pPr>
      <w:r>
        <w:rPr>
          <w:bCs/>
          <w:b/>
        </w:rPr>
        <w:t xml:space="preserve">Policy Relevance:</w:t>
      </w:r>
      <w:r>
        <w:t xml:space="preserve"> </w:t>
      </w:r>
      <w:r>
        <w:t xml:space="preserve">Evidence-based recommendations for the Hessian State Government’s Mobility Strategy 2030, potentially influencing regulatory frameworks adopted across German automotive manufacturing hubs.</w:t>
      </w:r>
    </w:p>
    <w:bookmarkEnd w:id="25"/>
    <w:bookmarkStart w:id="26" w:name="timeline-and-resource-integration"/>
    <w:p>
      <w:pPr>
        <w:pStyle w:val="Heading2"/>
      </w:pPr>
      <w:r>
        <w:t xml:space="preserve">Timeline and Resource Integration</w:t>
      </w:r>
    </w:p>
    <w:p>
      <w:pPr>
        <w:pStyle w:val="FirstParagraph"/>
      </w:pPr>
      <w:r>
        <w:t xml:space="preserve">The proposed research aligns with Frankfurt’s 5-Year Industry 4.0 Initiative (launched 2021), utilizing the city's Smart City Lab facilities for hardware validation. The project timeline integrates seamlessly with academic semesters at the University of Applied Sciences in Frankfurt, allowing concurrent industry placements at Bosch Engineering Centers within the city. Critical resources include access to Fraunhofer IST’s GaN fabrication capabilities and partnerships with E.ON’s Frankfurt energy network for grid-interactive testing—both strategically located within 15km of the university campus. This proximity ensures uninterrupted collaboration, a hallmark of successful</w:t>
      </w:r>
      <w:r>
        <w:t xml:space="preserve"> </w:t>
      </w:r>
      <w:r>
        <w:rPr>
          <w:bCs/>
          <w:b/>
        </w:rPr>
        <w:t xml:space="preserve">Electronics Engineer</w:t>
      </w:r>
      <w:r>
        <w:t xml:space="preserve"> </w:t>
      </w:r>
      <w:r>
        <w:t xml:space="preserve">career pathways in</w:t>
      </w:r>
      <w:r>
        <w:t xml:space="preserve"> </w:t>
      </w:r>
      <w:r>
        <w:rPr>
          <w:bCs/>
          <w:b/>
        </w:rPr>
        <w:t xml:space="preserve">Germany Frankfurt</w:t>
      </w:r>
      <w:r>
        <w:t xml:space="preserve">.</w:t>
      </w:r>
    </w:p>
    <w:bookmarkEnd w:id="26"/>
    <w:bookmarkStart w:id="27" w:name="Xc8532d64b49a6da4710f1b1db03c3128d9187b3"/>
    <w:p>
      <w:pPr>
        <w:pStyle w:val="Heading2"/>
      </w:pPr>
      <w:r>
        <w:t xml:space="preserve">Conclusion: Bridging Research and Regional Industry Needs</w:t>
      </w:r>
    </w:p>
    <w:p>
      <w:pPr>
        <w:pStyle w:val="FirstParagraph"/>
      </w:pPr>
      <w:r>
        <w:t xml:space="preserve">This Thesis Proposal positions energy-efficient power management as the linchpin for sustainable mobility in Europe, with Frankfurt serving as both the testing ground and launchpad. It transcends traditional academic research by embedding solutions within Germany’s specific industrial context—from regulatory frameworks to supply chain realities—while directly addressing the skill gaps identified by German automotive employers. By delivering a system proven in Frankfurt’s operational ecosystem, this work will provide immediate value to companies like Siemens Mobility (Frankfurt headquarters) and enable me as a future</w:t>
      </w:r>
      <w:r>
        <w:t xml:space="preserve"> </w:t>
      </w:r>
      <w:r>
        <w:rPr>
          <w:bCs/>
          <w:b/>
        </w:rPr>
        <w:t xml:space="preserve">Electronics Engineer</w:t>
      </w:r>
      <w:r>
        <w:t xml:space="preserve"> </w:t>
      </w:r>
      <w:r>
        <w:t xml:space="preserve">to contribute from day one of my professional career in</w:t>
      </w:r>
      <w:r>
        <w:t xml:space="preserve"> </w:t>
      </w:r>
      <w:r>
        <w:rPr>
          <w:bCs/>
          <w:b/>
        </w:rPr>
        <w:t xml:space="preserve">Germany Frankfurt</w:t>
      </w:r>
      <w:r>
        <w:t xml:space="preserve">. The proposed architecture does not merely improve efficiency—it reimagines how power electronics integrate with urban mobility infrastructure, making this Thesis Proposal a vital contribution to Germany’s leadership in the next industrial revolution.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Management Systems for Automotive Electronics in Germany Frankfurt</dc:title>
  <dc:creator/>
  <dc:language>en</dc:language>
  <cp:keywords/>
  <dcterms:created xsi:type="dcterms:W3CDTF">2026-07-06T19:02:53Z</dcterms:created>
  <dcterms:modified xsi:type="dcterms:W3CDTF">2026-07-06T19:02:53Z</dcterms:modified>
</cp:coreProperties>
</file>

<file path=docProps/custom.xml><?xml version="1.0" encoding="utf-8"?>
<Properties xmlns="http://schemas.openxmlformats.org/officeDocument/2006/custom-properties" xmlns:vt="http://schemas.openxmlformats.org/officeDocument/2006/docPropsVTypes"/>
</file>