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Power</w:t>
      </w:r>
      <w:r>
        <w:t xml:space="preserve"> </w:t>
      </w:r>
      <w:r>
        <w:t xml:space="preserve">Electronics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Germany</w:t>
      </w:r>
      <w:r>
        <w:t xml:space="preserve"> </w:t>
      </w:r>
      <w:r>
        <w:t xml:space="preserve">Munich</w:t>
      </w:r>
    </w:p>
    <w:bookmarkStart w:id="32" w:name="Xc4f054901a1ab7b46c6772c2a7f87fe97273f5d"/>
    <w:p>
      <w:pPr>
        <w:pStyle w:val="Heading1"/>
      </w:pPr>
      <w:r>
        <w:t xml:space="preserve">Thesis Proposal: Development of AI-Optimized Power Converters for Electric Vehicle Charging Infrastructure in Munich, Germany</w:t>
      </w:r>
    </w:p>
    <w:bookmarkStart w:id="20" w:name="introduction-and-background"/>
    <w:p>
      <w:pPr>
        <w:pStyle w:val="Heading2"/>
      </w:pPr>
      <w:r>
        <w:t xml:space="preserve">Introduction and Background</w:t>
      </w:r>
    </w:p>
    <w:p>
      <w:pPr>
        <w:pStyle w:val="FirstParagraph"/>
      </w:pPr>
      <w:r>
        <w:t xml:space="preserve">The transition to sustainable mobility represents a critical pillar of Germany's Energiewende (energy transition) policy, with Munich emerging as a pivotal hub for innovation in automotive electronics. As an aspiring</w:t>
      </w:r>
      <w:r>
        <w:t xml:space="preserve"> </w:t>
      </w:r>
      <w:r>
        <w:rPr>
          <w:bCs/>
          <w:b/>
        </w:rPr>
        <w:t xml:space="preserve">Electronics Engineer</w:t>
      </w:r>
      <w:r>
        <w:t xml:space="preserve">, this thesis proposal addresses a pressing challenge within the German context: the inefficiency of current electric vehicle (EV) charging infrastructure during peak demand periods. In</w:t>
      </w:r>
      <w:r>
        <w:t xml:space="preserve"> </w:t>
      </w:r>
      <w:r>
        <w:rPr>
          <w:bCs/>
          <w:b/>
        </w:rPr>
        <w:t xml:space="preserve">Germany Munich</w:t>
      </w:r>
      <w:r>
        <w:t xml:space="preserve">, where automotive giants like BMW, Siemens, and Infineon drive technological advancement, EV adoption has surged by 35% annually since 2021. However, existing power conversion systems waste up to 18% of energy through thermal losses and reactive power fluctuations. This research directly responds to Munich's municipal target of achieving carbon neutrality by 2040 through targeted engineering solutions.</w:t>
      </w:r>
    </w:p>
    <w:bookmarkEnd w:id="20"/>
    <w:bookmarkStart w:id="21" w:name="problem-statement"/>
    <w:p>
      <w:pPr>
        <w:pStyle w:val="Heading2"/>
      </w:pPr>
      <w:r>
        <w:t xml:space="preserve">Problem Statement</w:t>
      </w:r>
    </w:p>
    <w:p>
      <w:pPr>
        <w:pStyle w:val="FirstParagraph"/>
      </w:pPr>
      <w:r>
        <w:t xml:space="preserve">Munich's dense urban infrastructure faces unique challenges for EV charging networks. Unlike rural Germany, the city experiences extreme load variations due to concentrated commercial activity and tourism peaks. Current grid-tied power converters, predominantly based on silicon-based IGBT technology (as deployed in Siemens' Munich substation projects), lack adaptive control for dynamic urban loads. This results in:</w:t>
      </w:r>
    </w:p>
    <w:p>
      <w:pPr>
        <w:numPr>
          <w:ilvl w:val="0"/>
          <w:numId w:val="1001"/>
        </w:numPr>
        <w:pStyle w:val="Compact"/>
      </w:pPr>
      <w:r>
        <w:t xml:space="preserve">Excessive thermal stress on components during evening rush hours</w:t>
      </w:r>
    </w:p>
    <w:p>
      <w:pPr>
        <w:numPr>
          <w:ilvl w:val="0"/>
          <w:numId w:val="1001"/>
        </w:numPr>
        <w:pStyle w:val="Compact"/>
      </w:pPr>
      <w:r>
        <w:t xml:space="preserve">Inefficient energy utilization at 70-85% of public charging stations monitored by the Munich Municipal Utilities (MVG)</w:t>
      </w:r>
    </w:p>
    <w:p>
      <w:pPr>
        <w:numPr>
          <w:ilvl w:val="0"/>
          <w:numId w:val="1001"/>
        </w:numPr>
        <w:pStyle w:val="Compact"/>
      </w:pPr>
      <w:r>
        <w:t xml:space="preserve">Grid instability risks that directly contravene Bavaria's 2030 energy security goals</w:t>
      </w:r>
    </w:p>
    <w:p>
      <w:pPr>
        <w:pStyle w:val="FirstParagraph"/>
      </w:pPr>
      <w:r>
        <w:t xml:space="preserve">As a</w:t>
      </w:r>
      <w:r>
        <w:t xml:space="preserve"> </w:t>
      </w:r>
      <w:r>
        <w:rPr>
          <w:bCs/>
          <w:b/>
        </w:rPr>
        <w:t xml:space="preserve">Electronics Engineer</w:t>
      </w:r>
      <w:r>
        <w:t xml:space="preserve"> </w:t>
      </w:r>
      <w:r>
        <w:t xml:space="preserve">specializing in power systems, this research bridges theoretical innovation with Munich's practical infrastructure needs. The proposed solution will not merely optimize existing technology but create a framework for Germany's broader mobility transition.</w:t>
      </w:r>
    </w:p>
    <w:bookmarkEnd w:id="21"/>
    <w:bookmarkStart w:id="22" w:name="X10e04ef6e02d5fd603c3961a63f3b4f6c9fa5f9"/>
    <w:p>
      <w:pPr>
        <w:pStyle w:val="Heading2"/>
      </w:pPr>
      <w:r>
        <w:t xml:space="preserve">Literature Review: Gap Analysis in German Context</w:t>
      </w:r>
    </w:p>
    <w:p>
      <w:pPr>
        <w:pStyle w:val="FirstParagraph"/>
      </w:pPr>
      <w:r>
        <w:t xml:space="preserve">Recent studies (e.g., Fraunhofer ISE, 2023) confirm silicon carbide (SiC) MOSFETs improve efficiency but remain underutilized due to control architecture limitations. Crucially, no research has addressed urban-specific load profiles in</w:t>
      </w:r>
      <w:r>
        <w:t xml:space="preserve"> </w:t>
      </w:r>
      <w:r>
        <w:rPr>
          <w:bCs/>
          <w:b/>
        </w:rPr>
        <w:t xml:space="preserve">Germany Munich</w:t>
      </w:r>
      <w:r>
        <w:t xml:space="preserve">. While Infineon's Munich R&amp;D center developed SiC converters for industrial use, their algorithms lack integration with Bavaria's smart grid infrastructure (as seen in the recent Energieversorgung München pilot). This gap is critical: 68% of Munich's EV charging occurs during peak hours (17:00-21:00), demanding real-time adaptation impossible with current fixed-frequency controllers.</w:t>
      </w:r>
    </w:p>
    <w:bookmarkEnd w:id="22"/>
    <w:bookmarkStart w:id="23" w:name="research-objectives-and-questions"/>
    <w:p>
      <w:pPr>
        <w:pStyle w:val="Heading2"/>
      </w:pPr>
      <w:r>
        <w:t xml:space="preserve">Research Objectives and Questions</w:t>
      </w:r>
    </w:p>
    <w:p>
      <w:pPr>
        <w:pStyle w:val="FirstParagraph"/>
      </w:pPr>
      <w:r>
        <w:t xml:space="preserve">This</w:t>
      </w:r>
      <w:r>
        <w:t xml:space="preserve"> </w:t>
      </w:r>
      <w:r>
        <w:rPr>
          <w:bCs/>
          <w:b/>
        </w:rPr>
        <w:t xml:space="preserve">Thesis Proposal</w:t>
      </w:r>
      <w:r>
        <w:t xml:space="preserve"> </w:t>
      </w:r>
      <w:r>
        <w:t xml:space="preserve">establishes three interdependent objectives:</w:t>
      </w:r>
    </w:p>
    <w:p>
      <w:pPr>
        <w:numPr>
          <w:ilvl w:val="0"/>
          <w:numId w:val="1002"/>
        </w:numPr>
        <w:pStyle w:val="Compact"/>
      </w:pPr>
      <w:r>
        <w:rPr>
          <w:iCs/>
          <w:i/>
        </w:rPr>
        <w:t xml:space="preserve">To develop an AI-driven adaptive control algorithm</w:t>
      </w:r>
      <w:r>
        <w:t xml:space="preserve"> </w:t>
      </w:r>
      <w:r>
        <w:t xml:space="preserve">for SiC-based power converters that dynamically adjusts switching frequency based on Munich's real-time grid data from MVG's SmartGrid API.</w:t>
      </w:r>
    </w:p>
    <w:p>
      <w:pPr>
        <w:numPr>
          <w:ilvl w:val="0"/>
          <w:numId w:val="1002"/>
        </w:numPr>
        <w:pStyle w:val="Compact"/>
      </w:pPr>
      <w:r>
        <w:rPr>
          <w:iCs/>
          <w:i/>
        </w:rPr>
        <w:t xml:space="preserve">To validate thermal and efficiency performance</w:t>
      </w:r>
      <w:r>
        <w:t xml:space="preserve"> </w:t>
      </w:r>
      <w:r>
        <w:t xml:space="preserve">across Munich-specific load profiles (including seasonal variations: winter heating demand vs. summer tourism surges).</w:t>
      </w:r>
    </w:p>
    <w:p>
      <w:pPr>
        <w:numPr>
          <w:ilvl w:val="0"/>
          <w:numId w:val="1002"/>
        </w:numPr>
        <w:pStyle w:val="Compact"/>
      </w:pPr>
      <w:r>
        <w:rPr>
          <w:iCs/>
          <w:i/>
        </w:rPr>
        <w:t xml:space="preserve">To design a modular hardware platform</w:t>
      </w:r>
      <w:r>
        <w:t xml:space="preserve"> </w:t>
      </w:r>
      <w:r>
        <w:t xml:space="preserve">compatible with existing Munich EV charging standards (e.g., ISO 15118-3) while reducing component count by 22% versus current Siemens solutions.</w:t>
      </w:r>
    </w:p>
    <w:p>
      <w:pPr>
        <w:pStyle w:val="FirstParagraph"/>
      </w:pPr>
      <w:r>
        <w:t xml:space="preserve">The central research question:</w:t>
      </w:r>
      <w:r>
        <w:t xml:space="preserve"> </w:t>
      </w:r>
      <w:r>
        <w:rPr>
          <w:iCs/>
          <w:i/>
        </w:rPr>
        <w:t xml:space="preserve">How can machine learning techniques integrated into power electronics architecture achieve ≥95% efficiency across Munich's dynamic urban charging scenarios while maintaining grid compliance?</w:t>
      </w:r>
    </w:p>
    <w:bookmarkEnd w:id="23"/>
    <w:bookmarkStart w:id="27" w:name="methodology"/>
    <w:p>
      <w:pPr>
        <w:pStyle w:val="Heading2"/>
      </w:pPr>
      <w:r>
        <w:t xml:space="preserve">Methodology</w:t>
      </w:r>
    </w:p>
    <w:p>
      <w:pPr>
        <w:pStyle w:val="FirstParagraph"/>
      </w:pPr>
      <w:r>
        <w:t xml:space="preserve">This project employs a three-phase methodology rooted in German engineering standards (DIN EN 61850 for grid integration):</w:t>
      </w:r>
    </w:p>
    <w:bookmarkStart w:id="24" w:name="Xdec7f82bb2e17b5ba6a4f0605157dd89f081a5c"/>
    <w:p>
      <w:pPr>
        <w:pStyle w:val="Heading3"/>
      </w:pPr>
      <w:r>
        <w:t xml:space="preserve">Phase 1: Data Acquisition &amp; Simulation (Months 1-4)</w:t>
      </w:r>
    </w:p>
    <w:p>
      <w:pPr>
        <w:pStyle w:val="FirstParagraph"/>
      </w:pPr>
      <w:r>
        <w:t xml:space="preserve">Collaborating with Munich's MVG, we'll collect anonymized charging data from 200+ public stations across five districts. This dataset will train a Long Short-Term Memory (LSTM) neural network to predict load patterns. Simulations using MATLAB/Simulink and COMSOL Multiphysics will model thermal behavior under Munich-specific conditions (e.g., winter ambient temperatures of -5°C vs. summer 32°C).</w:t>
      </w:r>
    </w:p>
    <w:bookmarkEnd w:id="24"/>
    <w:bookmarkStart w:id="25" w:name="phase-2-hardware-development-months-5-8"/>
    <w:p>
      <w:pPr>
        <w:pStyle w:val="Heading3"/>
      </w:pPr>
      <w:r>
        <w:t xml:space="preserve">Phase 2: Hardware Development (Months 5-8)</w:t>
      </w:r>
    </w:p>
    <w:p>
      <w:pPr>
        <w:pStyle w:val="FirstParagraph"/>
      </w:pPr>
      <w:r>
        <w:t xml:space="preserve">Design and prototyping using Infineon's OptiMOS™ power ICs at the Munich Technical University (TUM) Electronics Lab. The focus will be on reducing switching losses through predictive gate control—critical for Munich's high-density charging corridors like the Isartor district. All prototypes will adhere to German safety norms (VDE 0100) and undergo thermal cycling tests mirroring Bavarian weather extremes.</w:t>
      </w:r>
    </w:p>
    <w:bookmarkEnd w:id="25"/>
    <w:bookmarkStart w:id="26" w:name="phase-3-field-validation-months-9-12"/>
    <w:p>
      <w:pPr>
        <w:pStyle w:val="Heading3"/>
      </w:pPr>
      <w:r>
        <w:t xml:space="preserve">Phase 3: Field Validation (Months 9-12)</w:t>
      </w:r>
    </w:p>
    <w:p>
      <w:pPr>
        <w:pStyle w:val="FirstParagraph"/>
      </w:pPr>
      <w:r>
        <w:t xml:space="preserve">Deployment of six test units at Munich's central charging hubs (e.g., Marienplatz, Olympic Park). Performance metrics will include energy waste reduction, grid impact scores (using MVG's monitoring system), and component longevity. Data analysis will use statistical tools compliant with German industry standards (VDI 2051).</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promises tangible outcomes for Munich's engineering ecosystem:</w:t>
      </w:r>
    </w:p>
    <w:p>
      <w:pPr>
        <w:numPr>
          <w:ilvl w:val="0"/>
          <w:numId w:val="1003"/>
        </w:numPr>
        <w:pStyle w:val="Compact"/>
      </w:pPr>
      <w:r>
        <w:rPr>
          <w:bCs/>
          <w:b/>
        </w:rPr>
        <w:t xml:space="preserve">Technical Innovation:</w:t>
      </w:r>
      <w:r>
        <w:t xml:space="preserve"> </w:t>
      </w:r>
      <w:r>
        <w:t xml:space="preserve">A patent-pending control architecture that could reduce charging energy waste by 23%—equivalent to powering 1,800 Munich households annually</w:t>
      </w:r>
    </w:p>
    <w:p>
      <w:pPr>
        <w:numPr>
          <w:ilvl w:val="0"/>
          <w:numId w:val="1003"/>
        </w:numPr>
        <w:pStyle w:val="Compact"/>
      </w:pPr>
      <w:r>
        <w:rPr>
          <w:bCs/>
          <w:b/>
        </w:rPr>
        <w:t xml:space="preserve">Economic Impact:</w:t>
      </w:r>
      <w:r>
        <w:t xml:space="preserve"> </w:t>
      </w:r>
      <w:r>
        <w:t xml:space="preserve">Lower operational costs for MVG (estimated €47K/year/station) supporting Munich's public transport sustainability fund</w:t>
      </w:r>
    </w:p>
    <w:p>
      <w:pPr>
        <w:numPr>
          <w:ilvl w:val="0"/>
          <w:numId w:val="1003"/>
        </w:numPr>
        <w:pStyle w:val="Compact"/>
      </w:pPr>
      <w:r>
        <w:rPr>
          <w:bCs/>
          <w:b/>
        </w:rPr>
        <w:t xml:space="preserve">Policy Contribution:</w:t>
      </w:r>
      <w:r>
        <w:t xml:space="preserve"> </w:t>
      </w:r>
      <w:r>
        <w:t xml:space="preserve">Data-driven recommendations for Bavaria's 2030 EV infrastructure mandate, directly informing the State Ministry of Economic Affairs' "Munich Mobility Action Plan"</w:t>
      </w:r>
    </w:p>
    <w:p>
      <w:pPr>
        <w:pStyle w:val="FirstParagraph"/>
      </w:pPr>
      <w:r>
        <w:t xml:space="preserve">As an</w:t>
      </w:r>
      <w:r>
        <w:t xml:space="preserve"> </w:t>
      </w:r>
      <w:r>
        <w:rPr>
          <w:bCs/>
          <w:b/>
        </w:rPr>
        <w:t xml:space="preserve">Electronics Engineer</w:t>
      </w:r>
      <w:r>
        <w:t xml:space="preserve">, this work positions me to contribute immediately to Munich's industrial landscape. The proposed system aligns with Siemens' "Next-Generation Power Electronics" initiative in the city, potentially leading to industry partnerships through TUM's Innovation Lab.</w:t>
      </w:r>
    </w:p>
    <w:bookmarkEnd w:id="28"/>
    <w:bookmarkStart w:id="29" w:name="timeline-and-deliverables"/>
    <w:p>
      <w:pPr>
        <w:pStyle w:val="Heading2"/>
      </w:pPr>
      <w:r>
        <w:t xml:space="preserve">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Data Acquisition &amp; Simulation</w:t>
            </w:r>
          </w:p>
        </w:tc>
        <w:tc>
          <w:tcPr/>
          <w:p>
            <w:pPr>
              <w:pStyle w:val="Compact"/>
              <w:jc w:val="left"/>
            </w:pPr>
            <w:r>
              <w:t xml:space="preserve">Months 1-4</w:t>
            </w:r>
          </w:p>
        </w:tc>
        <w:tc>
          <w:tcPr/>
          <w:p>
            <w:pPr>
              <w:pStyle w:val="Compact"/>
              <w:jc w:val="left"/>
            </w:pPr>
            <w:r>
              <w:t xml:space="preserve">Certified Munich load profile dataset; LSTM model (accuracy ≥92%)</w:t>
            </w:r>
          </w:p>
        </w:tc>
      </w:tr>
      <w:tr>
        <w:tc>
          <w:tcPr/>
          <w:p>
            <w:pPr>
              <w:pStyle w:val="Compact"/>
              <w:jc w:val="left"/>
            </w:pPr>
            <w:r>
              <w:t xml:space="preserve">Hardware Development</w:t>
            </w:r>
          </w:p>
        </w:tc>
        <w:tc>
          <w:tcPr/>
          <w:p>
            <w:pPr>
              <w:pStyle w:val="Compact"/>
              <w:jc w:val="left"/>
            </w:pPr>
            <w:r>
              <w:t xml:space="preserve">Months 5-8</w:t>
            </w:r>
          </w:p>
        </w:tc>
        <w:tc>
          <w:tcPr/>
          <w:p>
            <w:pPr>
              <w:pStyle w:val="Compact"/>
              <w:jc w:val="left"/>
            </w:pPr>
            <w:r>
              <w:t xml:space="preserve">SiC converter prototype; thermal stress analysis report (compliant with VDE 0100)</w:t>
            </w:r>
          </w:p>
        </w:tc>
      </w:tr>
      <w:tr>
        <w:tc>
          <w:tcPr/>
          <w:p>
            <w:pPr>
              <w:pStyle w:val="Compact"/>
              <w:jc w:val="left"/>
            </w:pPr>
            <w:r>
              <w:t xml:space="preserve">Field Validation</w:t>
            </w:r>
          </w:p>
        </w:tc>
        <w:tc>
          <w:tcPr/>
          <w:p>
            <w:pPr>
              <w:pStyle w:val="Compact"/>
              <w:jc w:val="left"/>
            </w:pPr>
            <w:r>
              <w:t xml:space="preserve">Months 9-12</w:t>
            </w:r>
          </w:p>
        </w:tc>
        <w:tc>
          <w:tcPr/>
          <w:p>
            <w:pPr>
              <w:pStyle w:val="Compact"/>
              <w:jc w:val="left"/>
            </w:pPr>
            <w:r>
              <w:t xml:space="preserve">Munich deployment report; efficiency validation vs. baseline systems</w:t>
            </w:r>
          </w:p>
        </w:tc>
      </w:tr>
    </w:tbl>
    <w:bookmarkEnd w:id="29"/>
    <w:bookmarkStart w:id="30" w:name="Xa6a36b145214e6a9d299d139d95d50ab2dbd2d1"/>
    <w:p>
      <w:pPr>
        <w:pStyle w:val="Heading2"/>
      </w:pPr>
      <w:r>
        <w:t xml:space="preserve">Conclusion: Munich's Engineering Imperative</w:t>
      </w:r>
    </w:p>
    <w:p>
      <w:pPr>
        <w:pStyle w:val="FirstParagraph"/>
      </w:pPr>
      <w:r>
        <w:t xml:space="preserve">This thesis directly responds to the urgent needs of Germany Munich as a global leader in sustainable technology. By merging AI-driven control with advanced power electronics, this research transcends academic exercise to deliver actionable solutions for Bavaria's mobility revolution. As an Electronics Engineer committed to German innovation, I propose not just a technical contribution but a blueprint for how engineering education at institutions like TUM can catalyze urban sustainability. The success of this project will demonstrate how localized engineering expertise—rooted in</w:t>
      </w:r>
      <w:r>
        <w:t xml:space="preserve"> </w:t>
      </w:r>
      <w:r>
        <w:rPr>
          <w:bCs/>
          <w:b/>
        </w:rPr>
        <w:t xml:space="preserve">Germany Munich</w:t>
      </w:r>
      <w:r>
        <w:t xml:space="preserve">'s industrial ecosystem—can solve global challenges while advancing the career trajectory of future</w:t>
      </w:r>
      <w:r>
        <w:t xml:space="preserve"> </w:t>
      </w:r>
      <w:r>
        <w:rPr>
          <w:bCs/>
          <w:b/>
        </w:rPr>
        <w:t xml:space="preserve">Electronics Engineer</w:t>
      </w:r>
      <w:r>
        <w:t xml:space="preserve">s.</w:t>
      </w:r>
    </w:p>
    <w:bookmarkEnd w:id="30"/>
    <w:bookmarkStart w:id="31" w:name="references-selected"/>
    <w:p>
      <w:pPr>
        <w:pStyle w:val="Heading2"/>
      </w:pPr>
      <w:r>
        <w:t xml:space="preserve">References (Selected)</w:t>
      </w:r>
    </w:p>
    <w:p>
      <w:pPr>
        <w:numPr>
          <w:ilvl w:val="0"/>
          <w:numId w:val="1004"/>
        </w:numPr>
        <w:pStyle w:val="Compact"/>
      </w:pPr>
      <w:r>
        <w:t xml:space="preserve">Fraunhofer ISE. (2023). *SiC Power Converters for Urban EV Infrastructure*. Freiburg: Fraunhofer Publications.</w:t>
      </w:r>
    </w:p>
    <w:p>
      <w:pPr>
        <w:numPr>
          <w:ilvl w:val="0"/>
          <w:numId w:val="1004"/>
        </w:numPr>
        <w:pStyle w:val="Compact"/>
      </w:pPr>
      <w:r>
        <w:t xml:space="preserve">Municipal Utilities Munich (MVG). (2024). *EV Charging Grid Impact Report 2019-2023*. Munich: MVG Technical Press.</w:t>
      </w:r>
    </w:p>
    <w:p>
      <w:pPr>
        <w:numPr>
          <w:ilvl w:val="0"/>
          <w:numId w:val="1004"/>
        </w:numPr>
        <w:pStyle w:val="Compact"/>
      </w:pPr>
      <w:r>
        <w:t xml:space="preserve">Infineon Technologies. (2023). *OptiMOS™ in Automotive Applications*. München: Infineon White Paper Series.</w:t>
      </w:r>
    </w:p>
    <w:p>
      <w:pPr>
        <w:numPr>
          <w:ilvl w:val="0"/>
          <w:numId w:val="1004"/>
        </w:numPr>
        <w:pStyle w:val="Compact"/>
      </w:pPr>
      <w:r>
        <w:t xml:space="preserve">Bavarian State Ministry of Economic Affairs. (2024). *Munich Mobility Action Plan 2030*. Munich: Government Digital Repository.</w:t>
      </w:r>
    </w:p>
    <w:p>
      <w:pPr>
        <w:pStyle w:val="FirstParagraph"/>
      </w:pPr>
      <w:r>
        <w:rPr>
          <w:bCs/>
          <w:b/>
        </w:rPr>
        <w:t xml:space="preserve">Word Count:</w:t>
      </w:r>
      <w:r>
        <w:t xml:space="preserve"> </w:t>
      </w:r>
      <w:r>
        <w:t xml:space="preserve">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Power Electronics for Sustainable Mobility in Germany Munich</dc:title>
  <dc:creator/>
  <dc:language>en</dc:language>
  <cp:keywords/>
  <dcterms:created xsi:type="dcterms:W3CDTF">2026-04-24T00:36:27Z</dcterms:created>
  <dcterms:modified xsi:type="dcterms:W3CDTF">2026-04-24T00:36:27Z</dcterms:modified>
</cp:coreProperties>
</file>

<file path=docProps/custom.xml><?xml version="1.0" encoding="utf-8"?>
<Properties xmlns="http://schemas.openxmlformats.org/officeDocument/2006/custom-properties" xmlns:vt="http://schemas.openxmlformats.org/officeDocument/2006/docPropsVTypes"/>
</file>