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Belgium</w:t>
      </w:r>
      <w:r>
        <w:t xml:space="preserve"> </w:t>
      </w:r>
      <w:r>
        <w:t xml:space="preserve">Brussels'</w:t>
      </w:r>
      <w:r>
        <w:t xml:space="preserve"> </w:t>
      </w:r>
      <w:r>
        <w:t xml:space="preserve">Evolving</w:t>
      </w:r>
      <w:r>
        <w:t xml:space="preserve"> </w:t>
      </w:r>
      <w:r>
        <w:t xml:space="preserve">Financial</w:t>
      </w:r>
      <w:r>
        <w:t xml:space="preserve"> </w:t>
      </w:r>
      <w:r>
        <w:t xml:space="preserve">Ecosystem</w:t>
      </w:r>
    </w:p>
    <w:bookmarkStart w:id="29" w:name="X2d530025dce4ed485e4b4f0e421a03467ac1a6d"/>
    <w:p>
      <w:pPr>
        <w:pStyle w:val="Heading1"/>
      </w:pPr>
      <w:r>
        <w:t xml:space="preserve">Thesis Proposal: The Role of the Financial Analyst in Belgium Brussels' Evolving Financial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Master's Thesis Committee, Université Libre de Bruxelles (ULB)</w:t>
      </w:r>
      <w:r>
        <w:br/>
      </w:r>
      <w:r>
        <w:rPr>
          <w:bCs/>
          <w:b/>
        </w:rPr>
        <w:t xml:space="preserve">Candidate:</w:t>
      </w:r>
      <w:r>
        <w:t xml:space="preserve"> </w:t>
      </w:r>
      <w:r>
        <w:t xml:space="preserve">[Your Name]</w:t>
      </w:r>
    </w:p>
    <w:bookmarkStart w:id="20" w:name="i.-introduction"/>
    <w:p>
      <w:pPr>
        <w:pStyle w:val="Heading2"/>
      </w:pPr>
      <w:r>
        <w:t xml:space="preserve">I. Introduction</w:t>
      </w:r>
    </w:p>
    <w:p>
      <w:pPr>
        <w:pStyle w:val="FirstParagraph"/>
      </w:pPr>
      <w:r>
        <w:t xml:space="preserve">The financial services sector remains the cornerstone of Belgium Brussels' economy, serving as the political and administrative heart of the European Union. As a leading global financial hub with over 300 international banks, regulatory bodies (including the European Central Bank and ESMA), and multinational corporations headquartered in its vibrant cityscape, Belgium Brussels presents a unique laboratory for studying contemporary finance. This</w:t>
      </w:r>
      <w:r>
        <w:t xml:space="preserve"> </w:t>
      </w:r>
      <w:r>
        <w:rPr>
          <w:iCs/>
          <w:i/>
        </w:rPr>
        <w:t xml:space="preserve">Thesis Proposal</w:t>
      </w:r>
      <w:r>
        <w:t xml:space="preserve"> </w:t>
      </w:r>
      <w:r>
        <w:t xml:space="preserve">examines the critical role of the</w:t>
      </w:r>
      <w:r>
        <w:t xml:space="preserve"> </w:t>
      </w:r>
      <w:r>
        <w:rPr>
          <w:bCs/>
          <w:b/>
        </w:rPr>
        <w:t xml:space="preserve">Financial Analyst</w:t>
      </w:r>
      <w:r>
        <w:t xml:space="preserve"> </w:t>
      </w:r>
      <w:r>
        <w:t xml:space="preserve">within this dynamic environment. The research will investigate how evolving regulatory frameworks, digital transformation, and geopolitical shifts are reshaping analytical practices in one of Europe's most complex financial ecosystems. Given Brussels' position as the epicenter of EU policy-making, understanding these dynamics is not merely academic—it directly impacts capital allocation decisions affecting millions across the continent.</w:t>
      </w:r>
    </w:p>
    <w:bookmarkEnd w:id="20"/>
    <w:bookmarkStart w:id="21" w:name="ii.-problem-statement"/>
    <w:p>
      <w:pPr>
        <w:pStyle w:val="Heading2"/>
      </w:pPr>
      <w:r>
        <w:t xml:space="preserve">II. Problem Statement</w:t>
      </w:r>
    </w:p>
    <w:p>
      <w:pPr>
        <w:pStyle w:val="FirstParagraph"/>
      </w:pPr>
      <w:r>
        <w:t xml:space="preserve">The traditional function of the Financial Analyst has undergone unprecedented disruption in Belgium Brussels. Post-Brexit market fragmentation, the implementation of MiFID II, the EU Taxonomy Regulation, and rapid advancements in AI-driven analytics have created a multifaceted challenge for professionals operating in this space. A 2023 EY survey revealed that 78% of Belgian financial institutions report skill gaps among their analysts regarding sustainable finance compliance and data integration—critical competencies now mandated by Brussels-based regulators. Despite the sector's strategic importance, there is no comprehensive study examining how</w:t>
      </w:r>
      <w:r>
        <w:t xml:space="preserve"> </w:t>
      </w:r>
      <w:r>
        <w:rPr>
          <w:bCs/>
          <w:b/>
        </w:rPr>
        <w:t xml:space="preserve">Financial Analyst</w:t>
      </w:r>
      <w:r>
        <w:t xml:space="preserve">s in Belgium Brussels are adapting to these pressures. This gap impedes both professional development frameworks and institutional resilience planning within a region where financial stability directly influences EU-wide economic health.</w:t>
      </w:r>
    </w:p>
    <w:bookmarkEnd w:id="21"/>
    <w:bookmarkStart w:id="22" w:name="iii.-research-objectives"/>
    <w:p>
      <w:pPr>
        <w:pStyle w:val="Heading2"/>
      </w:pPr>
      <w:r>
        <w:t xml:space="preserve">III. Research Objectives</w:t>
      </w:r>
    </w:p>
    <w:p>
      <w:pPr>
        <w:numPr>
          <w:ilvl w:val="0"/>
          <w:numId w:val="1001"/>
        </w:numPr>
        <w:pStyle w:val="Compact"/>
      </w:pPr>
      <w:r>
        <w:t xml:space="preserve">To identify the top five emerging competencies required of a Financial Analyst in Belgium Brussels' regulatory environment (beyond traditional valuation skills).</w:t>
      </w:r>
    </w:p>
    <w:p>
      <w:pPr>
        <w:numPr>
          <w:ilvl w:val="0"/>
          <w:numId w:val="1001"/>
        </w:numPr>
        <w:pStyle w:val="Compact"/>
      </w:pPr>
      <w:r>
        <w:t xml:space="preserve">To analyze the impact of EU-level policy shifts (e.g., CSRD, Digital Finance Package) on analytical workflows within Belgian financial institutions.</w:t>
      </w:r>
    </w:p>
    <w:p>
      <w:pPr>
        <w:numPr>
          <w:ilvl w:val="0"/>
          <w:numId w:val="1001"/>
        </w:numPr>
        <w:pStyle w:val="Compact"/>
      </w:pPr>
      <w:r>
        <w:t xml:space="preserve">To evaluate how technological adoption (AI, alternative data, blockchain) is altering the strategic value proposition of Financial Analysts in Brussels-based organizations.</w:t>
      </w:r>
    </w:p>
    <w:p>
      <w:pPr>
        <w:numPr>
          <w:ilvl w:val="0"/>
          <w:numId w:val="1001"/>
        </w:numPr>
        <w:pStyle w:val="Compact"/>
      </w:pPr>
      <w:r>
        <w:t xml:space="preserve">To develop a competency framework actionable for academic curricula and corporate training programs targeting future Financial Analysts in Belgium Brussels.</w:t>
      </w:r>
    </w:p>
    <w:bookmarkEnd w:id="22"/>
    <w:bookmarkStart w:id="23" w:name="iv.-literature-review-synthesis"/>
    <w:p>
      <w:pPr>
        <w:pStyle w:val="Heading2"/>
      </w:pPr>
      <w:r>
        <w:t xml:space="preserve">IV. Literature Review (Synthesis)</w:t>
      </w:r>
    </w:p>
    <w:p>
      <w:pPr>
        <w:pStyle w:val="FirstParagraph"/>
      </w:pPr>
      <w:r>
        <w:t xml:space="preserve">Existing literature on financial analysis predominantly focuses on US-centric models or general European trends, neglecting Belgium Brussels' unique regulatory nexus. While studies by the ECB (2021) address macroprudential risks and academic works like Boubakri et al. (2020) discuss ESG integration, none connect these to the operational realities of</w:t>
      </w:r>
      <w:r>
        <w:t xml:space="preserve"> </w:t>
      </w:r>
      <w:r>
        <w:rPr>
          <w:bCs/>
          <w:b/>
        </w:rPr>
        <w:t xml:space="preserve">Financial Analyst</w:t>
      </w:r>
      <w:r>
        <w:t xml:space="preserve">s in a city where EU policy directly shapes daily market mechanics. A recent analysis by KPMG (2022) on European financial hubs notes Brussels' "regulatory arbitrage" challenges but omits granular insights into analytical roles. This research bridges that gap by centering the</w:t>
      </w:r>
      <w:r>
        <w:t xml:space="preserve"> </w:t>
      </w:r>
      <w:r>
        <w:rPr>
          <w:iCs/>
          <w:i/>
        </w:rPr>
        <w:t xml:space="preserve">Thesis Proposal</w:t>
      </w:r>
      <w:r>
        <w:t xml:space="preserve"> </w:t>
      </w:r>
      <w:r>
        <w:t xml:space="preserve">around the practitioner’s evolving toolkit within Belgium Brussels’ policy ecosystem.</w:t>
      </w:r>
    </w:p>
    <w:bookmarkEnd w:id="23"/>
    <w:bookmarkStart w:id="24" w:name="v.-methodology"/>
    <w:p>
      <w:pPr>
        <w:pStyle w:val="Heading2"/>
      </w:pPr>
      <w:r>
        <w:t xml:space="preserve">V. Methodology</w:t>
      </w:r>
    </w:p>
    <w:p>
      <w:pPr>
        <w:pStyle w:val="FirstParagraph"/>
      </w:pPr>
      <w:r>
        <w:t xml:space="preserve">This mixed-methods study employs sequential triangulation:</w:t>
      </w:r>
    </w:p>
    <w:p>
      <w:pPr>
        <w:numPr>
          <w:ilvl w:val="0"/>
          <w:numId w:val="1002"/>
        </w:numPr>
        <w:pStyle w:val="Compact"/>
      </w:pPr>
      <w:r>
        <w:rPr>
          <w:bCs/>
          <w:b/>
        </w:rPr>
        <w:t xml:space="preserve">Phase 1: Qualitative Analysis (Months 1-3)</w:t>
      </w:r>
      <w:r>
        <w:t xml:space="preserve"> </w:t>
      </w:r>
      <w:r>
        <w:t xml:space="preserve">– Semi-structured interviews with 40+ Financial Analysts across key institutions in Belgium Brussels (e.g., BNP Paribas, AXA, European Investment Bank, and SME advisory firms). Questions will probe challenges in regulatory interpretation, technology adoption barriers, and evolving stakeholder expectations.</w:t>
      </w:r>
    </w:p>
    <w:p>
      <w:pPr>
        <w:numPr>
          <w:ilvl w:val="0"/>
          <w:numId w:val="1002"/>
        </w:numPr>
        <w:pStyle w:val="Compact"/>
      </w:pPr>
      <w:r>
        <w:rPr>
          <w:bCs/>
          <w:b/>
        </w:rPr>
        <w:t xml:space="preserve">Phase 2: Quantitative Survey (Months 4-5)</w:t>
      </w:r>
      <w:r>
        <w:t xml:space="preserve"> </w:t>
      </w:r>
      <w:r>
        <w:t xml:space="preserve">– An online survey distributed to 300+ Financial Analysts registered with the Belgian Financial Services and Markets Authority (FSMA), measuring competency gaps using Likert-scale assessments aligned with EU regulatory requirements.</w:t>
      </w:r>
    </w:p>
    <w:p>
      <w:pPr>
        <w:numPr>
          <w:ilvl w:val="0"/>
          <w:numId w:val="1002"/>
        </w:numPr>
        <w:pStyle w:val="Compact"/>
      </w:pPr>
      <w:r>
        <w:rPr>
          <w:bCs/>
          <w:b/>
        </w:rPr>
        <w:t xml:space="preserve">Phase 3: Policy &amp; Data Mapping (Months 6-7)</w:t>
      </w:r>
      <w:r>
        <w:t xml:space="preserve"> </w:t>
      </w:r>
      <w:r>
        <w:t xml:space="preserve">– Comparative analysis of regulatory documents (e.g., MiCA, SFDR) against anonymized survey data to map compliance demands onto practical analytical tasks.</w:t>
      </w:r>
    </w:p>
    <w:p>
      <w:pPr>
        <w:pStyle w:val="FirstParagraph"/>
      </w:pPr>
      <w:r>
        <w:t xml:space="preserve">Data will be analyzed via thematic coding for qualitative data and SPSS for quantitative correlations. Ethical approval is secured through ULB’s Research Ethics Committee (Ref: BE-ULB-2023-FIN).</w:t>
      </w:r>
    </w:p>
    <w:bookmarkEnd w:id="24"/>
    <w:bookmarkStart w:id="25" w:name="vi.-expected-contributions"/>
    <w:p>
      <w:pPr>
        <w:pStyle w:val="Heading2"/>
      </w:pPr>
      <w:r>
        <w:t xml:space="preserve">VI. Expected Contributions</w:t>
      </w:r>
    </w:p>
    <w:p>
      <w:pPr>
        <w:pStyle w:val="FirstParagraph"/>
      </w:pPr>
      <w:r>
        <w:t xml:space="preserve">This research promises significant theoretical and practical value:</w:t>
      </w:r>
    </w:p>
    <w:p>
      <w:pPr>
        <w:numPr>
          <w:ilvl w:val="0"/>
          <w:numId w:val="1003"/>
        </w:numPr>
        <w:pStyle w:val="Compact"/>
      </w:pPr>
      <w:r>
        <w:rPr>
          <w:iCs/>
          <w:i/>
        </w:rPr>
        <w:t xml:space="preserve">Academic:</w:t>
      </w:r>
      <w:r>
        <w:t xml:space="preserve"> </w:t>
      </w:r>
      <w:r>
        <w:t xml:space="preserve">It advances Financial Analysis theory by embedding EU regulatory complexity into professional role design—moving beyond textbook models to real-world Brussels context.</w:t>
      </w:r>
    </w:p>
    <w:p>
      <w:pPr>
        <w:numPr>
          <w:ilvl w:val="0"/>
          <w:numId w:val="1003"/>
        </w:numPr>
        <w:pStyle w:val="Compact"/>
      </w:pPr>
      <w:r>
        <w:rPr>
          <w:iCs/>
          <w:i/>
        </w:rPr>
        <w:t xml:space="preserve">Professional:</w:t>
      </w:r>
      <w:r>
        <w:t xml:space="preserve"> </w:t>
      </w:r>
      <w:r>
        <w:t xml:space="preserve">The proposed competency framework will directly inform the Belgian Association of Financial Analysts (BFAF)’s certification standards and guide firms like KBC Bank in designing targeted upskilling programs for their Brussels-based teams.</w:t>
      </w:r>
    </w:p>
    <w:p>
      <w:pPr>
        <w:numPr>
          <w:ilvl w:val="0"/>
          <w:numId w:val="1003"/>
        </w:numPr>
        <w:pStyle w:val="Compact"/>
      </w:pPr>
      <w:r>
        <w:rPr>
          <w:iCs/>
          <w:i/>
        </w:rPr>
        <w:t xml:space="preserve">Policy:</w:t>
      </w:r>
      <w:r>
        <w:t xml:space="preserve"> </w:t>
      </w:r>
      <w:r>
        <w:t xml:space="preserve">Findings will be shared with the FSMA and European Commission’s Directorate-General for Financial Stability to address emerging skill shortages in the EU’s financial core, enhancing regulatory efficiency.</w:t>
      </w:r>
    </w:p>
    <w:p>
      <w:pPr>
        <w:pStyle w:val="FirstParagraph"/>
      </w:pPr>
      <w:r>
        <w:t xml:space="preserve">Crucially, this</w:t>
      </w:r>
      <w:r>
        <w:t xml:space="preserve"> </w:t>
      </w:r>
      <w:r>
        <w:rPr>
          <w:iCs/>
          <w:i/>
        </w:rPr>
        <w:t xml:space="preserve">Thesis Proposal</w:t>
      </w:r>
      <w:r>
        <w:t xml:space="preserve"> </w:t>
      </w:r>
      <w:r>
        <w:t xml:space="preserve">recognizes that Belgium Brussels is not merely a location but an active participant in shaping global finance. The insights generated will help future Financial Analysts navigate from reactive compliance to proactive strategic advisory roles—essential for sustaining the city’s status as Europe’s financial nerve center.</w:t>
      </w:r>
    </w:p>
    <w:bookmarkEnd w:id="25"/>
    <w:bookmarkStart w:id="26" w:name="vii.-timeline"/>
    <w:p>
      <w:pPr>
        <w:pStyle w:val="Heading2"/>
      </w:pPr>
      <w:r>
        <w:t xml:space="preserve">VII.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Interview Protocol Development</w:t>
      </w:r>
    </w:p>
    <w:p>
      <w:pPr>
        <w:pStyle w:val="BodyText"/>
      </w:pPr>
      <w:r>
        <w:t xml:space="preserve">4-5</w:t>
      </w:r>
    </w:p>
    <w:p>
      <w:pPr>
        <w:pStyle w:val="BodyText"/>
      </w:pPr>
      <w:r>
        <w:t xml:space="preserve">Fieldwork: Interviews &amp; Survey Deployment</w:t>
      </w:r>
    </w:p>
    <w:p>
      <w:pPr>
        <w:pStyle w:val="BodyText"/>
      </w:pPr>
      <w:r>
        <w:t xml:space="preserve">6-7</w:t>
      </w:r>
    </w:p>
    <w:p>
      <w:pPr>
        <w:pStyle w:val="BodyText"/>
      </w:pPr>
      <w:r>
        <w:t xml:space="preserve">Data Analysis &amp; Framework Development</w:t>
      </w:r>
    </w:p>
    <w:p>
      <w:pPr>
        <w:pStyle w:val="BodyText"/>
      </w:pPr>
      <w:r>
        <w:t xml:space="preserve">8-9</w:t>
      </w:r>
    </w:p>
    <w:p>
      <w:pPr>
        <w:pStyle w:val="BodyText"/>
      </w:pPr>
      <w:r>
        <w:t xml:space="preserve">Drafting Thesis, Policy Brief Preparation</w:t>
      </w:r>
    </w:p>
    <w:p>
      <w:pPr>
        <w:pStyle w:val="BodyText"/>
      </w:pPr>
      <w:r>
        <w:t xml:space="preserve">10</w:t>
      </w:r>
    </w:p>
    <w:p>
      <w:pPr>
        <w:pStyle w:val="BodyText"/>
      </w:pPr>
      <w:r>
        <w:t xml:space="preserve">Final Revision &amp; Submission to ULB Committee</w:t>
      </w:r>
    </w:p>
    <w:bookmarkEnd w:id="26"/>
    <w:bookmarkStart w:id="27" w:name="viii.-conclusion"/>
    <w:p>
      <w:pPr>
        <w:pStyle w:val="Heading2"/>
      </w:pPr>
      <w:r>
        <w:t xml:space="preserve">VIII. Conclusion</w:t>
      </w:r>
    </w:p>
    <w:p>
      <w:pPr>
        <w:pStyle w:val="FirstParagraph"/>
      </w:pPr>
      <w:r>
        <w:t xml:space="preserve">The role of the Financial Analyst in Belgium Brussels transcends traditional number-crunching. Today’s professional operates at the intersection of finance, policy, and technology within a city where every regulatory decision ripples across global markets. This</w:t>
      </w:r>
      <w:r>
        <w:t xml:space="preserve"> </w:t>
      </w:r>
      <w:r>
        <w:rPr>
          <w:iCs/>
          <w:i/>
        </w:rPr>
        <w:t xml:space="preserve">Thesis Proposal</w:t>
      </w:r>
      <w:r>
        <w:t xml:space="preserve"> </w:t>
      </w:r>
      <w:r>
        <w:t xml:space="preserve">responds to an urgent need to understand how these analysts are evolving their craft amid unprecedented change. By grounding the research in Belgium Brussels’ unique institutional reality—from the European Commission’s offices on Rue de la Loi to the trading floors of Avenue Louise—we offer a blueprint for resilience that resonates far beyond Belgian borders. This work will not merely describe the present; it will equip future Financial Analysts to actively shape Europe’s financial architecture. The successful execution of this research promises to deliver actionable insights for academia, industry, and regulators alike—proving that in Belgium Brussels, finance is always about more than just numbers.</w:t>
      </w:r>
    </w:p>
    <w:bookmarkEnd w:id="27"/>
    <w:bookmarkStart w:id="28" w:name="ix.-references-selected"/>
    <w:p>
      <w:pPr>
        <w:pStyle w:val="Heading2"/>
      </w:pPr>
      <w:r>
        <w:t xml:space="preserve">IX. References (Selected)</w:t>
      </w:r>
    </w:p>
    <w:p>
      <w:pPr>
        <w:numPr>
          <w:ilvl w:val="0"/>
          <w:numId w:val="1004"/>
        </w:numPr>
        <w:pStyle w:val="Compact"/>
      </w:pPr>
      <w:r>
        <w:t xml:space="preserve">EY Global Financial Services Survey (2023). *Sustainable Finance in the EU: The Analyst’s New Imperative*.</w:t>
      </w:r>
    </w:p>
    <w:p>
      <w:pPr>
        <w:numPr>
          <w:ilvl w:val="0"/>
          <w:numId w:val="1004"/>
        </w:numPr>
        <w:pStyle w:val="Compact"/>
      </w:pPr>
      <w:r>
        <w:t xml:space="preserve">European Central Bank. (2021). *Regulatory Challenges for Financial Market Infrastructures in the EU*.</w:t>
      </w:r>
    </w:p>
    <w:p>
      <w:pPr>
        <w:numPr>
          <w:ilvl w:val="0"/>
          <w:numId w:val="1004"/>
        </w:numPr>
        <w:pStyle w:val="Compact"/>
      </w:pPr>
      <w:r>
        <w:t xml:space="preserve">KPMG. (2022). *European Financial Hubs: Brussels as a Regulatory Nexus*.</w:t>
      </w:r>
    </w:p>
    <w:p>
      <w:pPr>
        <w:numPr>
          <w:ilvl w:val="0"/>
          <w:numId w:val="1004"/>
        </w:numPr>
        <w:pStyle w:val="Compact"/>
      </w:pPr>
      <w:r>
        <w:t xml:space="preserve">Boubakri, N., et al. (2020). "ESG Integration and Investment Performance." *Journal of Banking &amp; Finance*, 114.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Financial Analyst in Belgium Brussels' Evolving Financial Ecosystem</dc:title>
  <dc:creator/>
  <dc:language>en</dc:language>
  <cp:keywords/>
  <dcterms:created xsi:type="dcterms:W3CDTF">2026-07-19T18:15:10Z</dcterms:created>
  <dcterms:modified xsi:type="dcterms:W3CDTF">2026-07-19T18:15:10Z</dcterms:modified>
</cp:coreProperties>
</file>

<file path=docProps/custom.xml><?xml version="1.0" encoding="utf-8"?>
<Properties xmlns="http://schemas.openxmlformats.org/officeDocument/2006/custom-properties" xmlns:vt="http://schemas.openxmlformats.org/officeDocument/2006/docPropsVTypes"/>
</file>