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9" w:name="X6b32d5980a781605216300bf842cf7f761e1f68"/>
    <w:p>
      <w:pPr>
        <w:pStyle w:val="Heading1"/>
      </w:pPr>
      <w:r>
        <w:t xml:space="preserve">Thesis Proposal: The Evolving Role of Financial Analysts in Canada Toronto's Financial Ecosystem</w:t>
      </w:r>
    </w:p>
    <w:bookmarkStart w:id="20" w:name="introduction"/>
    <w:p>
      <w:pPr>
        <w:pStyle w:val="Heading2"/>
      </w:pPr>
      <w:r>
        <w:t xml:space="preserve">Introduction</w:t>
      </w:r>
    </w:p>
    <w:p>
      <w:pPr>
        <w:pStyle w:val="FirstParagraph"/>
      </w:pPr>
      <w:r>
        <w:t xml:space="preserve">The financial services sector remains the cornerstone of Canada's economy, with Toronto serving as North America's fourth-largest financial hub and the undisputed center of Canadian finance. As a global leader in banking, investment management, and fintech innovation, Canada Toronto demands highly skilled Financial Analysts who can navigate complex market dynamics while adhering to stringent regulatory frameworks like those set by the OSC (Ontario Securities Commission) and IIROC (Investment Industry Regulatory Organization of Canada). This Thesis Proposal outlines a critical investigation into the evolving competencies, technological integration, and professional challenges facing Financial Analysts operating within Canada Toronto's unique economic landscape. The study addresses an urgent gap in understanding how these professionals adapt to accelerating digital transformation, ESG (Environmental, Social, Governance) integration mandates, and post-pandemic market volatility – all while serving a diverse client base spanning multinational corporations to burgeoning Canadian startups.</w:t>
      </w:r>
    </w:p>
    <w:bookmarkEnd w:id="20"/>
    <w:bookmarkStart w:id="21" w:name="X61c8e3d7745353c024bba137fe6677f48d5e4e7"/>
    <w:p>
      <w:pPr>
        <w:pStyle w:val="Heading2"/>
      </w:pPr>
      <w:r>
        <w:t xml:space="preserve">Literature Review: Contextualizing the Toronto Financial Analyst</w:t>
      </w:r>
    </w:p>
    <w:p>
      <w:pPr>
        <w:pStyle w:val="FirstParagraph"/>
      </w:pPr>
      <w:r>
        <w:t xml:space="preserve">Existing research on Financial Analysts predominantly centers on U.S. markets (e.g., studies by CFA Institute, 2021), with limited focus on Canada's distinct regulatory environment and regional market nuances. Canadian literature (e.g., PwC Canada, 2023) acknowledges Toronto's centrality but rarely examines the day-to-day operational realities of Financial Analysts beyond broad sectoral trends. Key gaps persist regarding: (1) the impact of Ontario's provincial tax policies on valuation methodologies used by Toronto-based analysts; (2) how ESG frameworks are being implemented in Canadian asset management firms headquartered in Toronto; and (3) the evolving skillsets required for Financial Analysts to leverage Canada's burgeoning AI-driven fintech sector. This thesis directly addresses these gaps by centering its analysis on Canada Toronto as a microcosm of national financial innovation, where institutions like RBC Capital Markets, TD Securities, and The Bank of Nova Scotia shape industry standards.</w:t>
      </w:r>
    </w:p>
    <w:bookmarkEnd w:id="21"/>
    <w:bookmarkStart w:id="22" w:name="research-questions-and-objectives"/>
    <w:p>
      <w:pPr>
        <w:pStyle w:val="Heading2"/>
      </w:pPr>
      <w:r>
        <w:t xml:space="preserve">Research Questions and Objectives</w:t>
      </w:r>
    </w:p>
    <w:p>
      <w:pPr>
        <w:pStyle w:val="FirstParagraph"/>
      </w:pPr>
      <w:r>
        <w:t xml:space="preserve">This study proposes the following core research questions:</w:t>
      </w:r>
    </w:p>
    <w:p>
      <w:pPr>
        <w:numPr>
          <w:ilvl w:val="0"/>
          <w:numId w:val="1001"/>
        </w:numPr>
        <w:pStyle w:val="Compact"/>
      </w:pPr>
      <w:r>
        <w:t xml:space="preserve">How do Toronto-based Financial Analysts integrate ESG metrics into investment decision-making processes within Canada's regulatory framework?</w:t>
      </w:r>
    </w:p>
    <w:p>
      <w:pPr>
        <w:numPr>
          <w:ilvl w:val="0"/>
          <w:numId w:val="1001"/>
        </w:numPr>
        <w:pStyle w:val="Compact"/>
      </w:pPr>
      <w:r>
        <w:t xml:space="preserve">To what extent does technological adoption (AI, machine learning, blockchain) redefine traditional Financial Analyst responsibilities in Canada Toronto?</w:t>
      </w:r>
    </w:p>
    <w:p>
      <w:pPr>
        <w:numPr>
          <w:ilvl w:val="0"/>
          <w:numId w:val="1001"/>
        </w:numPr>
        <w:pStyle w:val="Compact"/>
      </w:pPr>
      <w:r>
        <w:t xml:space="preserve">What specific skill gaps exist between current Financial Analyst training programs and the evolving demands of Toronto's financial ecosystem?</w:t>
      </w:r>
    </w:p>
    <w:p>
      <w:pPr>
        <w:pStyle w:val="FirstParagraph"/>
      </w:pPr>
      <w:r>
        <w:t xml:space="preserve">The primary objectives are: (1) To develop a competency framework for future Financial Analysts in Canada Toronto; (2) To identify region-specific challenges in regulatory compliance and market analysis; and (3) To propose actionable recommendations for academic institutions, employers, and regulatory bodies to strengthen Toronto's financial talent pipeline.</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with qualitative expert interviews. Phase 1 involves distributing an online survey to 300+ Financial Analysts across Toronto's major financial institutions (e.g., CIBC, BMO, ScotiaMocatta), measuring proficiency in ESG analysis, technology adoption rates, and perceived skill gaps. Phase 2 conducts in-depth semi-structured interviews with 25 industry leaders from firms like Morningstar Canada and Wealthsimple to explore strategic challenges. Secondary data will be analyzed from Statistics Canada's Financial Services Reports (2019-2023), OSC compliance filings, and academic journals like the</w:t>
      </w:r>
      <w:r>
        <w:t xml:space="preserve"> </w:t>
      </w:r>
      <w:r>
        <w:rPr>
          <w:iCs/>
          <w:i/>
        </w:rPr>
        <w:t xml:space="preserve">Canadian Journal of Administrative Sciences</w:t>
      </w:r>
      <w:r>
        <w:t xml:space="preserve">. All data will be analyzed using NVivo for thematic coding (qualitative) and SPSS for statistical correlation (quantitative), ensuring results are contextualized within Canada Toronto's unique market conditions.</w:t>
      </w:r>
    </w:p>
    <w:bookmarkEnd w:id="23"/>
    <w:bookmarkStart w:id="24" w:name="X3af244cd4536535fcdda39b0f8a63e538978248"/>
    <w:p>
      <w:pPr>
        <w:pStyle w:val="Heading2"/>
      </w:pPr>
      <w:r>
        <w:t xml:space="preserve">Expected Contributions to Practice and Theory</w:t>
      </w:r>
    </w:p>
    <w:p>
      <w:pPr>
        <w:pStyle w:val="FirstParagraph"/>
      </w:pPr>
      <w:r>
        <w:t xml:space="preserve">This Thesis Proposal promises significant value for multiple stakeholders in Canada Toronto's financial sector. Practically, the findings will equip employers like Scotia Bank with evidence-based strategies to redesign professional development programs, directly addressing the Ontario government's "Future Skills" initiative which prioritizes financial sector upskilling. For academic institutions (e.g., Rotman School of Management), the study will inform curricula updates to better align with Toronto's market needs – particularly in AI analytics and Canadian regulatory compliance. Theoretically, it advances scholarship by challenging the global "one-size-fits-all" model for Financial Analyst roles, demonstrating how regional factors like Canada's strong real estate sector or federal carbon pricing policies uniquely shape analytical approaches in Toronto versus New York or London. Crucially, this research will provide the first granular analysis of how Financial Analysts navigate Canada's complex tax system when evaluating cross-border investments – a critical capability for Toronto-based professionals operating in North American markets.</w:t>
      </w:r>
    </w:p>
    <w:bookmarkEnd w:id="24"/>
    <w:bookmarkStart w:id="25" w:name="X078558fa32a6a5ee25f1c6954adedaaf889cd88"/>
    <w:p>
      <w:pPr>
        <w:pStyle w:val="Heading2"/>
      </w:pPr>
      <w:r>
        <w:t xml:space="preserve">Significance Within Canada Toronto's Economic Context</w:t>
      </w:r>
    </w:p>
    <w:p>
      <w:pPr>
        <w:pStyle w:val="FirstParagraph"/>
      </w:pPr>
      <w:r>
        <w:t xml:space="preserve">Toronto's financial sector directly contributes over $70 billion annually to Ontario's GDP (Statistics Canada, 2023), making the proficiency of its Financial Analysts a macroeconomic priority. With Toronto home to 40% of Canada’s investment management assets under administration (IIROC, 2023), this study addresses an immediate industry need: the anticipated shortage of 15,000 financial professionals by 2030 (Deloitte Canada, 2024). By focusing on Toronto – where firms like Tangerine and Wealthsimple are pioneering digital-first analysis – the research directly supports Ontario's Economic Resilience Strategy. The proposed competency framework will also empower Financial Analysts to better serve Canada's growing ESG-focused investor base (now representing $1.7 trillion in assets, according to the Canadian Sustainable Investment Council), positioning Toronto as a global leader in sustainable finance.</w:t>
      </w:r>
    </w:p>
    <w:bookmarkEnd w:id="25"/>
    <w:bookmarkStart w:id="26" w:name="timeline-and-implementation"/>
    <w:p>
      <w:pPr>
        <w:pStyle w:val="Heading2"/>
      </w:pPr>
      <w:r>
        <w:t xml:space="preserve">Timeline and Implementation</w:t>
      </w:r>
    </w:p>
    <w:p>
      <w:pPr>
        <w:pStyle w:val="FirstParagraph"/>
      </w:pPr>
      <w:r>
        <w:t xml:space="preserve">Conducted over 18 months within Canada Toronto, this project follows a phased timeline: Months 1-3 (Literature review &amp; survey design), Months 4-6 (Survey deployment &amp; data collection), Months 7-9 (Interviews &amp; qualitative analysis), Months 10-12 (Integration of findings &amp; framework development), and Months 13-18 (Thesis writing, stakeholder validation workshops with Toronto-based firms, and final submission). All research activities will comply with University of Toronto’s ethics guidelines and Ontario's data privacy standards (PIPEDA).</w:t>
      </w:r>
    </w:p>
    <w:bookmarkEnd w:id="26"/>
    <w:bookmarkStart w:id="28" w:name="conclusion"/>
    <w:p>
      <w:pPr>
        <w:pStyle w:val="Heading2"/>
      </w:pPr>
      <w:r>
        <w:t xml:space="preserve">Conclusion</w:t>
      </w:r>
    </w:p>
    <w:p>
      <w:pPr>
        <w:pStyle w:val="FirstParagraph"/>
      </w:pPr>
      <w:r>
        <w:t xml:space="preserve">This Thesis Proposal establishes a vital research pathway to future-proof the Financial Analyst profession within Canada Toronto. By grounding analysis in Toronto's specific regulatory environment, market structures, and economic priorities – rather than global generalizations – the study delivers actionable intelligence for building a resilient financial talent ecosystem. As Canada Toronto continues to evolve as a global innovation hub, understanding how Financial Analysts adapt to technological shifts and ESG imperatives will determine not only corporate competitiveness but also Ontario's position in the international financial landscape. The findings will directly support strategic decisions by employers, regulators, and educators across Canada Toronto’s financial community while contributing original scholarship on regionalized professional practice in a globally connected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Toronto's Financial Ecosystem</dc:title>
  <dc:creator/>
  <dc:language>en</dc:language>
  <cp:keywords/>
  <dcterms:created xsi:type="dcterms:W3CDTF">2026-05-02T05:27:05Z</dcterms:created>
  <dcterms:modified xsi:type="dcterms:W3CDTF">2026-05-02T05:27:05Z</dcterms:modified>
</cp:coreProperties>
</file>

<file path=docProps/custom.xml><?xml version="1.0" encoding="utf-8"?>
<Properties xmlns="http://schemas.openxmlformats.org/officeDocument/2006/custom-properties" xmlns:vt="http://schemas.openxmlformats.org/officeDocument/2006/docPropsVTypes"/>
</file>