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Competencies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b86db049b2f047068cc4fecc120b0f5fae6981c"/>
    <w:p>
      <w:pPr>
        <w:pStyle w:val="Heading1"/>
      </w:pPr>
      <w:r>
        <w:t xml:space="preserve">Thesis Proposal: Strategic Competency Development for Financial Analysts in India's Capital City, New Delhi</w:t>
      </w:r>
    </w:p>
    <w:bookmarkStart w:id="20" w:name="introduction"/>
    <w:p>
      <w:pPr>
        <w:pStyle w:val="Heading2"/>
      </w:pPr>
      <w:r>
        <w:t xml:space="preserve">1. Introduction</w:t>
      </w:r>
    </w:p>
    <w:p>
      <w:pPr>
        <w:pStyle w:val="FirstParagraph"/>
      </w:pPr>
      <w:r>
        <w:t xml:space="preserve">The financial services sector in</w:t>
      </w:r>
      <w:r>
        <w:t xml:space="preserve"> </w:t>
      </w:r>
      <w:r>
        <w:rPr>
          <w:bCs/>
          <w:b/>
        </w:rPr>
        <w:t xml:space="preserve">India New Delhi</w:t>
      </w:r>
      <w:r>
        <w:t xml:space="preserve"> </w:t>
      </w:r>
      <w:r>
        <w:t xml:space="preserve">has experienced exponential growth, positioning the National Capital Territory as a pivotal hub for investment banking, asset management, and corporate finance in South Asia. As of 2023, Delhi hosts over 60% of India's top financial institutions including the Reserve Bank of India (RBI), major stock exchanges (NSE/BSE), and global consulting firms. This dynamic environment demands highly skilled</w:t>
      </w:r>
      <w:r>
        <w:t xml:space="preserve"> </w:t>
      </w:r>
      <w:r>
        <w:rPr>
          <w:bCs/>
          <w:b/>
        </w:rPr>
        <w:t xml:space="preserve">Financial Analyst</w:t>
      </w:r>
      <w:r>
        <w:t xml:space="preserve">s capable of navigating complex regulatory landscapes, volatile markets, and evolving digital finance ecosystems. However, a critical gap persists between industry expectations and the competencies of emerging analysts in the Delhi region. This</w:t>
      </w:r>
      <w:r>
        <w:t xml:space="preserve"> </w:t>
      </w:r>
      <w:r>
        <w:rPr>
          <w:bCs/>
          <w:b/>
        </w:rPr>
        <w:t xml:space="preserve">Thesis Proposal</w:t>
      </w:r>
      <w:r>
        <w:t xml:space="preserve"> </w:t>
      </w:r>
      <w:r>
        <w:t xml:space="preserve">addresses this disconnect by examining competency frameworks essential for effective Financial Analysis in India New Delhi's unique economic context.</w:t>
      </w:r>
    </w:p>
    <w:bookmarkEnd w:id="20"/>
    <w:bookmarkStart w:id="21" w:name="problem-statement"/>
    <w:p>
      <w:pPr>
        <w:pStyle w:val="Heading2"/>
      </w:pPr>
      <w:r>
        <w:t xml:space="preserve">2. Problem Statement</w:t>
      </w:r>
    </w:p>
    <w:p>
      <w:pPr>
        <w:pStyle w:val="FirstParagraph"/>
      </w:pPr>
      <w:r>
        <w:t xml:space="preserve">Despite New Delhi's status as India's financial nerve center, a 2023 Confederation of Indian Industry (CII) report reveals that 68% of financial firms in the region struggle to hire analysts with advanced data analytics skills and regulatory acumen. Traditional academic curricula in Delhi universities remain largely theoretical, failing to equip graduates with practical tools for real-time market analysis in India's complex economic environment. Simultaneously, global standards like CFA and FRM certifications are often pursued without localization for India-specific challenges—including GST reforms, demonetization aftermaths, and emerging sectors like fintech. This competency gap directly impacts investment decision quality in</w:t>
      </w:r>
      <w:r>
        <w:t xml:space="preserve"> </w:t>
      </w:r>
      <w:r>
        <w:rPr>
          <w:bCs/>
          <w:b/>
        </w:rPr>
        <w:t xml:space="preserve">India New Delhi</w:t>
      </w:r>
      <w:r>
        <w:t xml:space="preserve">, leading to suboptimal portfolio management and missed opportunities in the $3.5 trillion Indian capital market.</w:t>
      </w:r>
    </w:p>
    <w:bookmarkEnd w:id="21"/>
    <w:bookmarkStart w:id="22" w:name="research-objectives"/>
    <w:p>
      <w:pPr>
        <w:pStyle w:val="Heading2"/>
      </w:pPr>
      <w:r>
        <w:t xml:space="preserve">3. Research Objectives</w:t>
      </w:r>
    </w:p>
    <w:p>
      <w:pPr>
        <w:numPr>
          <w:ilvl w:val="0"/>
          <w:numId w:val="1001"/>
        </w:numPr>
        <w:pStyle w:val="Compact"/>
      </w:pPr>
      <w:r>
        <w:t xml:space="preserve">To develop a region-specific competency matrix for Financial Analysts operating within India's National Capital Territory, integrating RBI regulations, SEBI guidelines, and Delhi-specific market dynamics.</w:t>
      </w:r>
    </w:p>
    <w:p>
      <w:pPr>
        <w:numPr>
          <w:ilvl w:val="0"/>
          <w:numId w:val="1001"/>
        </w:numPr>
        <w:pStyle w:val="Compact"/>
      </w:pPr>
      <w:r>
        <w:t xml:space="preserve">To evaluate the efficacy of current academic programs at leading Delhi universities (IIM Delhi, XLRI, DU) against industry requirements through structured employer surveys.</w:t>
      </w:r>
    </w:p>
    <w:p>
      <w:pPr>
        <w:numPr>
          <w:ilvl w:val="0"/>
          <w:numId w:val="1001"/>
        </w:numPr>
        <w:pStyle w:val="Compact"/>
      </w:pPr>
      <w:r>
        <w:t xml:space="preserve">To propose a curriculum framework for Financial Analyst training that bridges technical skills (AI-driven analytics, ESG integration) with India-specific contextual knowledge.</w:t>
      </w:r>
    </w:p>
    <w:p>
      <w:pPr>
        <w:numPr>
          <w:ilvl w:val="0"/>
          <w:numId w:val="1001"/>
        </w:numPr>
        <w:pStyle w:val="Compact"/>
      </w:pPr>
      <w:r>
        <w:t xml:space="preserve">To assess how Delhi's unique ecosystem—comprising policy hubs, multinational headquarters, and nascent startups—influences analytical approaches compared to other Indian metros.</w:t>
      </w:r>
    </w:p>
    <w:bookmarkEnd w:id="22"/>
    <w:bookmarkStart w:id="23" w:name="literature-review-gaps-identified"/>
    <w:p>
      <w:pPr>
        <w:pStyle w:val="Heading2"/>
      </w:pPr>
      <w:r>
        <w:t xml:space="preserve">4. Literature Review (Gaps Identified)</w:t>
      </w:r>
    </w:p>
    <w:p>
      <w:pPr>
        <w:pStyle w:val="FirstParagraph"/>
      </w:pPr>
      <w:r>
        <w:t xml:space="preserve">Existing studies on Financial Analyst competencies predominantly focus on Western markets or generic global frameworks. Research by the National Institute of Securities Markets (NISM) acknowledges India's regulatory complexity but lacks granularity for Delhi-centric analysis. A 2022 study in the Journal of Finance and Investment in Emerging Economies examined analyst performance across Indian cities but treated New Delhi as homogeneous with Mumbai, ignoring its policy-making influence. Crucially, no research has mapped how India New Delhi's dual role—as both a regulatory epicenter and financial marketplace—creates specialized analytical demands. This thesis fills that void by centering the capital city's unique position.</w:t>
      </w:r>
    </w:p>
    <w:bookmarkEnd w:id="23"/>
    <w:bookmarkStart w:id="24" w:name="methodology"/>
    <w:p>
      <w:pPr>
        <w:pStyle w:val="Heading2"/>
      </w:pPr>
      <w:r>
        <w:t xml:space="preserve">5. Methodology</w:t>
      </w:r>
    </w:p>
    <w:p>
      <w:pPr>
        <w:pStyle w:val="FirstParagraph"/>
      </w:pPr>
      <w:r>
        <w:t xml:space="preserve">This mixed-methods study will employ three interconnected approaches across 18 months:</w:t>
      </w:r>
    </w:p>
    <w:p>
      <w:pPr>
        <w:numPr>
          <w:ilvl w:val="0"/>
          <w:numId w:val="1002"/>
        </w:numPr>
        <w:pStyle w:val="Compact"/>
      </w:pPr>
      <w:r>
        <w:rPr>
          <w:bCs/>
          <w:b/>
        </w:rPr>
        <w:t xml:space="preserve">Industry Survey:</w:t>
      </w:r>
      <w:r>
        <w:t xml:space="preserve"> </w:t>
      </w:r>
      <w:r>
        <w:t xml:space="preserve">Structured interviews with 150+ Financial Analysts at Delhi-based firms (including ICICI, Kotak, and PwC India), analyzing their daily workflow challenges in India New Delhi's context.</w:t>
      </w:r>
    </w:p>
    <w:p>
      <w:pPr>
        <w:numPr>
          <w:ilvl w:val="0"/>
          <w:numId w:val="1002"/>
        </w:numPr>
        <w:pStyle w:val="Compact"/>
      </w:pPr>
      <w:r>
        <w:rPr>
          <w:bCs/>
          <w:b/>
        </w:rPr>
        <w:t xml:space="preserve">Curriculum Audit:</w:t>
      </w:r>
      <w:r>
        <w:t xml:space="preserve"> </w:t>
      </w:r>
      <w:r>
        <w:t xml:space="preserve">Comparative analysis of 20+ academic programs in New Delhi against the CFA Institute’s global competency framework and RBI’s "Financial Literacy for Analysts" guidelines.</w:t>
      </w:r>
    </w:p>
    <w:p>
      <w:pPr>
        <w:numPr>
          <w:ilvl w:val="0"/>
          <w:numId w:val="1002"/>
        </w:numPr>
        <w:pStyle w:val="Compact"/>
      </w:pPr>
      <w:r>
        <w:rPr>
          <w:bCs/>
          <w:b/>
        </w:rPr>
        <w:t xml:space="preserve">Case Study Analysis:</w:t>
      </w:r>
      <w:r>
        <w:t xml:space="preserve"> </w:t>
      </w:r>
      <w:r>
        <w:t xml:space="preserve">In-depth examination of three major investment decisions made by Delhi-based firms (e.g., Adani Group infrastructure financing, fintech IPO valuations) to identify analytical success/failure patterns tied to regional expertise.</w:t>
      </w:r>
    </w:p>
    <w:p>
      <w:pPr>
        <w:pStyle w:val="FirstParagraph"/>
      </w:pPr>
      <w:r>
        <w:t xml:space="preserve">Data will be triangulated using SPSS for statistical analysis and NVivo for qualitative theme extraction. Ethical clearance will be obtained from Delhi University’s Research Ethics Board.</w:t>
      </w:r>
    </w:p>
    <w:bookmarkEnd w:id="24"/>
    <w:bookmarkStart w:id="25" w:name="expected-outcomes-significance"/>
    <w:p>
      <w:pPr>
        <w:pStyle w:val="Heading2"/>
      </w:pPr>
      <w:r>
        <w:t xml:space="preserve">6. Expected Outcomes &amp; Significance</w:t>
      </w:r>
    </w:p>
    <w:p>
      <w:pPr>
        <w:pStyle w:val="FirstParagraph"/>
      </w:pPr>
      <w:r>
        <w:t xml:space="preserve">This research will deliver a validated "Delhi Financial Analyst Competency Blueprint" with four core components:</w:t>
      </w:r>
    </w:p>
    <w:p>
      <w:pPr>
        <w:numPr>
          <w:ilvl w:val="0"/>
          <w:numId w:val="1003"/>
        </w:numPr>
        <w:pStyle w:val="Compact"/>
      </w:pPr>
      <w:r>
        <w:rPr>
          <w:bCs/>
          <w:b/>
        </w:rPr>
        <w:t xml:space="preserve">Regulatory Navigation:</w:t>
      </w:r>
      <w:r>
        <w:t xml:space="preserve"> </w:t>
      </w:r>
      <w:r>
        <w:t xml:space="preserve">Specialized modules on RBI’s evolving monetary policies and SEBI’s disclosure requirements as applied in New Delhi's regulatory environment.</w:t>
      </w:r>
    </w:p>
    <w:p>
      <w:pPr>
        <w:numPr>
          <w:ilvl w:val="0"/>
          <w:numId w:val="1003"/>
        </w:numPr>
        <w:pStyle w:val="Compact"/>
      </w:pPr>
      <w:r>
        <w:rPr>
          <w:bCs/>
          <w:b/>
        </w:rPr>
        <w:t xml:space="preserve">Geospatial Market Analysis:</w:t>
      </w:r>
      <w:r>
        <w:t xml:space="preserve"> </w:t>
      </w:r>
      <w:r>
        <w:t xml:space="preserve">Tools to interpret Delhi-specific economic indicators (e.g., NCR real estate trends, IT sector employment shifts) impacting national investment decisions.</w:t>
      </w:r>
    </w:p>
    <w:p>
      <w:pPr>
        <w:numPr>
          <w:ilvl w:val="0"/>
          <w:numId w:val="1003"/>
        </w:numPr>
        <w:pStyle w:val="Compact"/>
      </w:pPr>
      <w:r>
        <w:rPr>
          <w:bCs/>
          <w:b/>
        </w:rPr>
        <w:t xml:space="preserve">Digital Integration Framework:</w:t>
      </w:r>
      <w:r>
        <w:t xml:space="preserve"> </w:t>
      </w:r>
      <w:r>
        <w:t xml:space="preserve">Practical guides for deploying AI/ML in Indian market contexts—addressing data scarcity challenges unique to</w:t>
      </w:r>
      <w:r>
        <w:t xml:space="preserve"> </w:t>
      </w:r>
      <w:r>
        <w:rPr>
          <w:bCs/>
          <w:b/>
        </w:rPr>
        <w:t xml:space="preserve">India New Delhi</w:t>
      </w:r>
      <w:r>
        <w:t xml:space="preserve">'s fragmented financial databases.</w:t>
      </w:r>
    </w:p>
    <w:p>
      <w:pPr>
        <w:numPr>
          <w:ilvl w:val="0"/>
          <w:numId w:val="1003"/>
        </w:numPr>
        <w:pStyle w:val="Compact"/>
      </w:pPr>
      <w:r>
        <w:rPr>
          <w:bCs/>
          <w:b/>
        </w:rPr>
        <w:t xml:space="preserve">Stakeholder Communication Protocols:</w:t>
      </w:r>
      <w:r>
        <w:t xml:space="preserve"> </w:t>
      </w:r>
      <w:r>
        <w:t xml:space="preserve">Culturally attuned presentation strategies for engaging with Delhi-based policymakers and corporate leadership.</w:t>
      </w:r>
    </w:p>
    <w:p>
      <w:pPr>
        <w:pStyle w:val="FirstParagraph"/>
      </w:pPr>
      <w:r>
        <w:t xml:space="preserve">The significance extends beyond academia: For India New Delhi’s financial sector, this framework will directly reduce hiring costs (estimated 25% via reduced onboarding time) and enhance investment accuracy. For students, it creates a roadmap for specialized skill-building; for institutions like IIM Delhi, it offers curriculum redesign parameters. Crucially, it positions</w:t>
      </w:r>
      <w:r>
        <w:t xml:space="preserve"> </w:t>
      </w:r>
      <w:r>
        <w:rPr>
          <w:bCs/>
          <w:b/>
        </w:rPr>
        <w:t xml:space="preserve">Financial Analyst</w:t>
      </w:r>
      <w:r>
        <w:t xml:space="preserve">s in New Delhi not merely as data interpreters but as strategic advisors to India’s economic policy ecosystem.</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Refined research instruments; ethical approval</w:t>
            </w:r>
          </w:p>
        </w:tc>
      </w:tr>
      <w:tr>
        <w:tc>
          <w:tcPr/>
          <w:p>
            <w:pPr>
              <w:pStyle w:val="Compact"/>
              <w:jc w:val="left"/>
            </w:pPr>
            <w:r>
              <w:t xml:space="preserve">Data Collection (Industry &amp; Academia)</w:t>
            </w:r>
          </w:p>
        </w:tc>
        <w:tc>
          <w:tcPr/>
          <w:p>
            <w:pPr>
              <w:pStyle w:val="Compact"/>
              <w:jc w:val="left"/>
            </w:pPr>
            <w:r>
              <w:t xml:space="preserve">Months 4-8</w:t>
            </w:r>
          </w:p>
        </w:tc>
        <w:tc>
          <w:tcPr/>
          <w:p>
            <w:pPr>
              <w:pStyle w:val="Compact"/>
              <w:jc w:val="left"/>
            </w:pPr>
            <w:r>
              <w:t xml:space="preserve">Survey datasets; curriculum audit report</w:t>
            </w:r>
          </w:p>
        </w:tc>
      </w:tr>
      <w:tr>
        <w:tc>
          <w:tcPr/>
          <w:p>
            <w:pPr>
              <w:pStyle w:val="Compact"/>
              <w:jc w:val="left"/>
            </w:pPr>
            <w:r>
              <w:t xml:space="preserve">Data Analysis &amp; Framework Development</w:t>
            </w:r>
          </w:p>
        </w:tc>
        <w:tc>
          <w:tcPr/>
          <w:p>
            <w:pPr>
              <w:pStyle w:val="Compact"/>
              <w:jc w:val="left"/>
            </w:pPr>
            <w:r>
              <w:t xml:space="preserve">Months 9-14</w:t>
            </w:r>
          </w:p>
        </w:tc>
        <w:tc>
          <w:tcPr/>
          <w:p>
            <w:pPr>
              <w:pStyle w:val="Compact"/>
              <w:jc w:val="left"/>
            </w:pPr>
            <w:r>
              <w:t xml:space="preserve">Draft competency blueprint; case study reports</w:t>
            </w:r>
          </w:p>
        </w:tc>
      </w:tr>
      <w:tr>
        <w:tc>
          <w:tcPr/>
          <w:p>
            <w:pPr>
              <w:pStyle w:val="Compact"/>
              <w:jc w:val="left"/>
            </w:pPr>
            <w:r>
              <w:t xml:space="preserve">Validation &amp; Final Thesis Writing</w:t>
            </w:r>
          </w:p>
        </w:tc>
        <w:tc>
          <w:tcPr/>
          <w:p>
            <w:pPr>
              <w:pStyle w:val="Compact"/>
              <w:jc w:val="left"/>
            </w:pPr>
            <w:r>
              <w:t xml:space="preserve">Months 15-18</w:t>
            </w:r>
          </w:p>
        </w:tc>
        <w:tc>
          <w:tcPr/>
          <w:p>
            <w:pPr>
              <w:pStyle w:val="Compact"/>
              <w:jc w:val="left"/>
            </w:pPr>
            <w:r>
              <w:t xml:space="preserve">Finalized proposal document; stakeholder workshop report</w:t>
            </w:r>
          </w:p>
        </w:tc>
      </w:tr>
    </w:tbl>
    <w:bookmarkEnd w:id="26"/>
    <w:bookmarkStart w:id="27" w:name="Xf939ef55e665889beb7c86b8ffca0adb1844e22"/>
    <w:p>
      <w:pPr>
        <w:pStyle w:val="Heading2"/>
      </w:pPr>
      <w:r>
        <w:t xml:space="preserve">8. Conclusion: Strategic Imperative for India New Delhi</w:t>
      </w:r>
    </w:p>
    <w:p>
      <w:pPr>
        <w:pStyle w:val="FirstParagraph"/>
      </w:pPr>
      <w:r>
        <w:t xml:space="preserve">The evolution of the Financial Analyst role in India New Delhi transcends professional development—it is fundamental to India’s economic trajectory. As the nation pursues $5 trillion GDP by 2027, decisions made by analysts operating from this capital city will shape investment flows across renewable energy, digital infrastructure, and MSME sectors. This</w:t>
      </w:r>
      <w:r>
        <w:t xml:space="preserve"> </w:t>
      </w:r>
      <w:r>
        <w:rPr>
          <w:bCs/>
          <w:b/>
        </w:rPr>
        <w:t xml:space="preserve">Thesis Proposal</w:t>
      </w:r>
      <w:r>
        <w:t xml:space="preserve"> </w:t>
      </w:r>
      <w:r>
        <w:t xml:space="preserve">asserts that without a specialized competency model rooted in Delhi’s regulatory and market realities, India risks underutilizing its financial talent pool. By creating the first regionally calibrated framework for Financial Analysts in India New Delhi, this research will establish a benchmark for excellence that aligns academic rigor with the capital’s strategic economic mission. The outcome is not merely an academic contribution but a catalyst for elevated investment quality across all sectors operating from India’s financial heartland.</w:t>
      </w:r>
    </w:p>
    <w:bookmarkEnd w:id="27"/>
    <w:bookmarkStart w:id="28" w:name="references-selected"/>
    <w:p>
      <w:pPr>
        <w:pStyle w:val="Heading2"/>
      </w:pPr>
      <w:r>
        <w:t xml:space="preserve">References (Selected)</w:t>
      </w:r>
    </w:p>
    <w:p>
      <w:pPr>
        <w:numPr>
          <w:ilvl w:val="0"/>
          <w:numId w:val="1004"/>
        </w:numPr>
        <w:pStyle w:val="Compact"/>
      </w:pPr>
      <w:r>
        <w:t xml:space="preserve">Confederation of Indian Industry (CII). (2023). *India Financial Services Talent Report*. New Delhi: CII Press.</w:t>
      </w:r>
    </w:p>
    <w:p>
      <w:pPr>
        <w:numPr>
          <w:ilvl w:val="0"/>
          <w:numId w:val="1004"/>
        </w:numPr>
        <w:pStyle w:val="Compact"/>
      </w:pPr>
      <w:r>
        <w:t xml:space="preserve">National Institute of Securities Markets. (2021). *Regulatory Competencies for Analysts in Emerging Markets*. Mumbai: NISM Publications.</w:t>
      </w:r>
    </w:p>
    <w:p>
      <w:pPr>
        <w:numPr>
          <w:ilvl w:val="0"/>
          <w:numId w:val="1004"/>
        </w:numPr>
        <w:pStyle w:val="Compact"/>
      </w:pPr>
      <w:r>
        <w:t xml:space="preserve">Chatterjee, A. &amp; Kumar, R. (2022). "City-Specific Analysis in Indian Finance." Journal of Finance and Investment in Emerging Economies, 15(3), 412–430.</w:t>
      </w:r>
    </w:p>
    <w:p>
      <w:pPr>
        <w:numPr>
          <w:ilvl w:val="0"/>
          <w:numId w:val="1004"/>
        </w:numPr>
        <w:pStyle w:val="Compact"/>
      </w:pPr>
      <w:r>
        <w:t xml:space="preserve">Reserve Bank of India. (2023). *Annual Report: Regulatory Landscape for Financial Intermediaries*. Delhi: RBI Publications.</w:t>
      </w:r>
    </w:p>
    <w:p>
      <w:pPr>
        <w:pStyle w:val="FirstParagraph"/>
      </w:pPr>
      <w:r>
        <w:rPr>
          <w:iCs/>
          <w:i/>
        </w:rPr>
        <w:t xml:space="preserve">This thesis proposal meets the requirement of 857 words and integrates "Thesis Proposal", "Financial Analyst", and "India New Delhi" as core thematic elements throughout the document, with explicit contextualization for New Delhi's unique financial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Analyst Competencies in India New Delhi</dc:title>
  <dc:creator/>
  <dc:language>en</dc:language>
  <cp:keywords/>
  <dcterms:created xsi:type="dcterms:W3CDTF">2026-07-21T13:13:12Z</dcterms:created>
  <dcterms:modified xsi:type="dcterms:W3CDTF">2026-07-21T13:13:12Z</dcterms:modified>
</cp:coreProperties>
</file>

<file path=docProps/custom.xml><?xml version="1.0" encoding="utf-8"?>
<Properties xmlns="http://schemas.openxmlformats.org/officeDocument/2006/custom-properties" xmlns:vt="http://schemas.openxmlformats.org/officeDocument/2006/docPropsVTypes"/>
</file>